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01F40" w14:textId="77777777" w:rsidR="00F51085" w:rsidRDefault="007C4D6B">
      <w:pPr>
        <w:pBdr>
          <w:bottom w:val="single" w:sz="6" w:space="0" w:color="000000"/>
        </w:pBdr>
        <w:spacing w:after="0"/>
        <w:jc w:val="center"/>
        <w:rPr>
          <w:rFonts w:cs="Calibri"/>
          <w:bCs/>
          <w:szCs w:val="20"/>
          <w:lang w:eastAsia="id-ID"/>
        </w:rPr>
      </w:pPr>
      <w:r>
        <w:rPr>
          <w:rFonts w:cs="Calibri"/>
          <w:bCs/>
          <w:szCs w:val="20"/>
          <w:lang w:eastAsia="id-ID"/>
        </w:rPr>
        <w:t>Available online at website: https://jurnal.iaii.or.id/index.php/RESTI</w:t>
      </w:r>
    </w:p>
    <w:tbl>
      <w:tblPr>
        <w:tblW w:w="9072" w:type="dxa"/>
        <w:tblLayout w:type="fixed"/>
        <w:tblLook w:val="0000" w:firstRow="0" w:lastRow="0" w:firstColumn="0" w:lastColumn="0" w:noHBand="0" w:noVBand="0"/>
      </w:tblPr>
      <w:tblGrid>
        <w:gridCol w:w="1560"/>
        <w:gridCol w:w="3259"/>
        <w:gridCol w:w="4253"/>
      </w:tblGrid>
      <w:tr w:rsidR="00F51085" w14:paraId="6BEA3B41" w14:textId="77777777">
        <w:trPr>
          <w:trHeight w:val="799"/>
        </w:trPr>
        <w:tc>
          <w:tcPr>
            <w:tcW w:w="1560" w:type="dxa"/>
            <w:vMerge w:val="restart"/>
            <w:tcBorders>
              <w:bottom w:val="single" w:sz="4" w:space="0" w:color="000000"/>
            </w:tcBorders>
          </w:tcPr>
          <w:p w14:paraId="407BA973" w14:textId="77777777" w:rsidR="00F51085" w:rsidRDefault="007C4D6B">
            <w:pPr>
              <w:pStyle w:val="Title"/>
              <w:spacing w:before="60" w:after="60"/>
            </w:pPr>
            <w:r>
              <w:rPr>
                <w:noProof/>
                <w:lang w:val="id-ID" w:eastAsia="id-ID"/>
              </w:rPr>
              <w:drawing>
                <wp:inline distT="0" distB="0" distL="0" distR="0" wp14:anchorId="1C74F743" wp14:editId="4E3E87E0">
                  <wp:extent cx="770890" cy="757555"/>
                  <wp:effectExtent l="0" t="0" r="0" b="0"/>
                  <wp:docPr id="1" name="Picture 0" descr="log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logok.png"/>
                          <pic:cNvPicPr>
                            <a:picLocks noChangeAspect="1" noChangeArrowheads="1"/>
                          </pic:cNvPicPr>
                        </pic:nvPicPr>
                        <pic:blipFill>
                          <a:blip r:embed="rId7" cstate="print"/>
                          <a:stretch>
                            <a:fillRect/>
                          </a:stretch>
                        </pic:blipFill>
                        <pic:spPr bwMode="auto">
                          <a:xfrm>
                            <a:off x="0" y="0"/>
                            <a:ext cx="770890" cy="757555"/>
                          </a:xfrm>
                          <a:prstGeom prst="rect">
                            <a:avLst/>
                          </a:prstGeom>
                          <a:noFill/>
                        </pic:spPr>
                      </pic:pic>
                    </a:graphicData>
                  </a:graphic>
                </wp:inline>
              </w:drawing>
            </w:r>
          </w:p>
        </w:tc>
        <w:tc>
          <w:tcPr>
            <w:tcW w:w="7512" w:type="dxa"/>
            <w:gridSpan w:val="2"/>
          </w:tcPr>
          <w:p w14:paraId="63207A64" w14:textId="77777777" w:rsidR="00F51085" w:rsidRDefault="007C4D6B">
            <w:pPr>
              <w:pStyle w:val="Publisher"/>
              <w:spacing w:before="60"/>
              <w:rPr>
                <w:sz w:val="20"/>
                <w:vertAlign w:val="baseline"/>
                <w:lang w:val="nb-NO"/>
              </w:rPr>
            </w:pPr>
            <w:r>
              <w:rPr>
                <w:vertAlign w:val="baseline"/>
                <w:lang w:val="nb-NO"/>
              </w:rPr>
              <w:t>JURNAL RESTI</w:t>
            </w:r>
          </w:p>
          <w:p w14:paraId="70043175" w14:textId="77777777" w:rsidR="00F51085" w:rsidRDefault="007C4D6B">
            <w:pPr>
              <w:spacing w:after="20"/>
              <w:jc w:val="center"/>
              <w:rPr>
                <w:rFonts w:ascii="Cooper Black" w:hAnsi="Cooper Black"/>
                <w:color w:val="00B050"/>
                <w:spacing w:val="20"/>
                <w:lang w:val="nb-NO"/>
              </w:rPr>
            </w:pPr>
            <w:r>
              <w:rPr>
                <w:rFonts w:ascii="Cooper Black" w:hAnsi="Cooper Black"/>
                <w:color w:val="00B050"/>
                <w:spacing w:val="20"/>
                <w:position w:val="6"/>
                <w:sz w:val="28"/>
                <w:lang w:val="nb-NO"/>
              </w:rPr>
              <w:t>(Rekayasa Sistem dan Teknologi Informasi)</w:t>
            </w:r>
          </w:p>
        </w:tc>
      </w:tr>
      <w:tr w:rsidR="00F51085" w14:paraId="5D562BA8" w14:textId="77777777">
        <w:trPr>
          <w:trHeight w:val="364"/>
        </w:trPr>
        <w:tc>
          <w:tcPr>
            <w:tcW w:w="1560" w:type="dxa"/>
            <w:vMerge/>
            <w:tcBorders>
              <w:bottom w:val="single" w:sz="4" w:space="0" w:color="000000"/>
            </w:tcBorders>
          </w:tcPr>
          <w:p w14:paraId="13F0203B" w14:textId="77777777" w:rsidR="00F51085" w:rsidRDefault="00F51085">
            <w:pPr>
              <w:pStyle w:val="Title"/>
              <w:spacing w:after="0"/>
              <w:rPr>
                <w:lang w:val="nb-NO"/>
              </w:rPr>
            </w:pPr>
          </w:p>
        </w:tc>
        <w:tc>
          <w:tcPr>
            <w:tcW w:w="3259" w:type="dxa"/>
            <w:tcBorders>
              <w:bottom w:val="single" w:sz="4" w:space="0" w:color="000000"/>
            </w:tcBorders>
          </w:tcPr>
          <w:p w14:paraId="7E113565" w14:textId="26669D91" w:rsidR="00F51085" w:rsidRDefault="007C4D6B">
            <w:pPr>
              <w:spacing w:after="0"/>
              <w:jc w:val="left"/>
              <w:rPr>
                <w:rFonts w:eastAsia="Times New Roman"/>
                <w:color w:val="000000"/>
                <w:sz w:val="24"/>
                <w:szCs w:val="16"/>
                <w:lang w:val="it-IT"/>
              </w:rPr>
            </w:pPr>
            <w:r>
              <w:rPr>
                <w:rFonts w:eastAsia="Times New Roman"/>
                <w:color w:val="000000"/>
                <w:spacing w:val="-21"/>
                <w:sz w:val="22"/>
                <w:szCs w:val="14"/>
                <w:lang w:val="nb-NO"/>
              </w:rPr>
              <w:t xml:space="preserve">    </w:t>
            </w:r>
            <w:r>
              <w:rPr>
                <w:rFonts w:eastAsia="Times New Roman"/>
                <w:color w:val="000000"/>
                <w:spacing w:val="-21"/>
                <w:sz w:val="22"/>
                <w:szCs w:val="14"/>
                <w:lang w:val="it-IT"/>
              </w:rPr>
              <w:t>V</w:t>
            </w:r>
            <w:r>
              <w:rPr>
                <w:rFonts w:eastAsia="Times New Roman"/>
                <w:color w:val="000000"/>
                <w:sz w:val="22"/>
                <w:szCs w:val="14"/>
                <w:lang w:val="it-IT"/>
              </w:rPr>
              <w:t>ol. 9 No. 3 (2025) 4</w:t>
            </w:r>
            <w:r w:rsidR="00DC01D4">
              <w:rPr>
                <w:rFonts w:eastAsia="Times New Roman"/>
                <w:color w:val="000000"/>
                <w:sz w:val="22"/>
                <w:szCs w:val="14"/>
                <w:lang w:val="it-IT"/>
              </w:rPr>
              <w:t>94</w:t>
            </w:r>
            <w:r>
              <w:rPr>
                <w:rFonts w:eastAsia="Times New Roman"/>
                <w:color w:val="000000"/>
                <w:sz w:val="22"/>
                <w:szCs w:val="14"/>
                <w:lang w:val="it-IT"/>
              </w:rPr>
              <w:t xml:space="preserve"> - </w:t>
            </w:r>
            <w:r w:rsidR="00DC01D4">
              <w:rPr>
                <w:rFonts w:eastAsia="Times New Roman"/>
                <w:color w:val="000000"/>
                <w:sz w:val="22"/>
                <w:szCs w:val="14"/>
                <w:lang w:val="it-IT"/>
              </w:rPr>
              <w:t>506</w:t>
            </w:r>
          </w:p>
        </w:tc>
        <w:tc>
          <w:tcPr>
            <w:tcW w:w="4253" w:type="dxa"/>
            <w:tcBorders>
              <w:bottom w:val="single" w:sz="4" w:space="0" w:color="000000"/>
            </w:tcBorders>
          </w:tcPr>
          <w:p w14:paraId="753A6C35" w14:textId="77777777" w:rsidR="00F51085" w:rsidRDefault="007C4D6B">
            <w:pPr>
              <w:pStyle w:val="ISSN"/>
              <w:jc w:val="both"/>
              <w:rPr>
                <w:b w:val="0"/>
                <w:sz w:val="22"/>
                <w:szCs w:val="14"/>
              </w:rPr>
            </w:pPr>
            <w:r>
              <w:rPr>
                <w:b w:val="0"/>
                <w:sz w:val="22"/>
                <w:szCs w:val="14"/>
                <w:lang w:val="it-IT"/>
              </w:rPr>
              <w:t xml:space="preserve">                                       </w:t>
            </w:r>
            <w:r>
              <w:rPr>
                <w:b w:val="0"/>
                <w:sz w:val="22"/>
                <w:szCs w:val="14"/>
              </w:rPr>
              <w:t>e-ISSN: 2580-0760</w:t>
            </w:r>
          </w:p>
        </w:tc>
      </w:tr>
    </w:tbl>
    <w:p w14:paraId="4DD5B65B" w14:textId="77777777" w:rsidR="00F51085" w:rsidRDefault="007C4D6B">
      <w:pPr>
        <w:pStyle w:val="Subtitle"/>
        <w:spacing w:before="240" w:after="240"/>
        <w:rPr>
          <w:b w:val="0"/>
          <w:bCs/>
        </w:rPr>
      </w:pPr>
      <w:r>
        <w:rPr>
          <w:b w:val="0"/>
          <w:bCs/>
        </w:rPr>
        <w:t>UDAWA Gadadar: Agent-based Cyber-physical System for Universal Small-scale Horticulture Greenhouse Management System</w:t>
      </w:r>
    </w:p>
    <w:p w14:paraId="1AC1913C" w14:textId="77777777" w:rsidR="00F51085" w:rsidRDefault="007C4D6B">
      <w:pPr>
        <w:pStyle w:val="Subtitle"/>
        <w:spacing w:after="0"/>
        <w:rPr>
          <w:b w:val="0"/>
          <w:sz w:val="20"/>
        </w:rPr>
      </w:pPr>
      <w:r>
        <w:rPr>
          <w:rStyle w:val="SubtleEmphasis"/>
          <w:b w:val="0"/>
          <w:sz w:val="20"/>
        </w:rPr>
        <w:t>I Wayan Aditya Suranata</w:t>
      </w:r>
      <w:r>
        <w:rPr>
          <w:rStyle w:val="SubtleEmphasis"/>
          <w:b w:val="0"/>
          <w:sz w:val="20"/>
          <w:vertAlign w:val="superscript"/>
        </w:rPr>
        <w:t>1</w:t>
      </w:r>
      <w:r>
        <w:rPr>
          <w:rStyle w:val="SubtleEmphasis"/>
          <w:b w:val="0"/>
          <w:sz w:val="20"/>
          <w:lang w:val="id-ID"/>
        </w:rPr>
        <w:t>*</w:t>
      </w:r>
      <w:r>
        <w:rPr>
          <w:rStyle w:val="SubtleEmphasis"/>
          <w:b w:val="0"/>
          <w:sz w:val="20"/>
        </w:rPr>
        <w:t>, Ketut Elly Sutrisni</w:t>
      </w:r>
      <w:r>
        <w:rPr>
          <w:rStyle w:val="SubtleEmphasis"/>
          <w:b w:val="0"/>
          <w:sz w:val="20"/>
          <w:vertAlign w:val="superscript"/>
        </w:rPr>
        <w:t>2</w:t>
      </w:r>
      <w:r>
        <w:rPr>
          <w:rStyle w:val="SubtleEmphasis"/>
          <w:b w:val="0"/>
        </w:rPr>
        <w:t xml:space="preserve">, </w:t>
      </w:r>
      <w:r>
        <w:rPr>
          <w:rStyle w:val="SubtleEmphasis"/>
          <w:b w:val="0"/>
          <w:sz w:val="20"/>
        </w:rPr>
        <w:t>I Made Surya Adi Putra</w:t>
      </w:r>
      <w:r>
        <w:rPr>
          <w:rStyle w:val="SubtleEmphasis"/>
          <w:b w:val="0"/>
          <w:sz w:val="20"/>
          <w:vertAlign w:val="superscript"/>
        </w:rPr>
        <w:t>3</w:t>
      </w:r>
    </w:p>
    <w:p w14:paraId="0EED6BEA" w14:textId="77777777" w:rsidR="00F51085" w:rsidRDefault="007C4D6B">
      <w:pPr>
        <w:pStyle w:val="Subtitle"/>
        <w:spacing w:after="0"/>
        <w:rPr>
          <w:b w:val="0"/>
        </w:rPr>
      </w:pPr>
      <w:r>
        <w:rPr>
          <w:rStyle w:val="SubtleEmphasis"/>
          <w:b w:val="0"/>
          <w:vertAlign w:val="superscript"/>
        </w:rPr>
        <w:t>1</w:t>
      </w:r>
      <w:r>
        <w:rPr>
          <w:rStyle w:val="SubtleEmphasis"/>
          <w:b w:val="0"/>
        </w:rPr>
        <w:t>Information Technologi Department, Faculty of Engineering and Informatics, Universitas Pendidikan Nasional, Bali, Indonesia</w:t>
      </w:r>
    </w:p>
    <w:p w14:paraId="45519D90" w14:textId="77777777" w:rsidR="00F51085" w:rsidRDefault="007C4D6B">
      <w:pPr>
        <w:pStyle w:val="Subtitle"/>
        <w:spacing w:after="0"/>
        <w:rPr>
          <w:b w:val="0"/>
        </w:rPr>
      </w:pPr>
      <w:r>
        <w:rPr>
          <w:rStyle w:val="SubtleEmphasis"/>
          <w:b w:val="0"/>
          <w:vertAlign w:val="superscript"/>
        </w:rPr>
        <w:t>2</w:t>
      </w:r>
      <w:r>
        <w:rPr>
          <w:rStyle w:val="SubtleEmphasis"/>
          <w:b w:val="0"/>
        </w:rPr>
        <w:t>Business Management Department, Faculty of Economics and Business, Universitas Pendidikan Nasional, Bali, Indonesia</w:t>
      </w:r>
    </w:p>
    <w:p w14:paraId="671687EF" w14:textId="77777777" w:rsidR="00F51085" w:rsidRDefault="007C4D6B">
      <w:pPr>
        <w:pStyle w:val="Subtitle"/>
        <w:spacing w:after="0"/>
        <w:rPr>
          <w:b w:val="0"/>
        </w:rPr>
      </w:pPr>
      <w:r>
        <w:rPr>
          <w:rStyle w:val="SubtleEmphasis"/>
          <w:b w:val="0"/>
          <w:vertAlign w:val="superscript"/>
        </w:rPr>
        <w:t>3</w:t>
      </w:r>
      <w:r>
        <w:rPr>
          <w:rStyle w:val="SubtleEmphasis"/>
          <w:b w:val="0"/>
        </w:rPr>
        <w:t>Kelompok Pemuda Tani Bali, Bali, Indonesia</w:t>
      </w:r>
    </w:p>
    <w:p w14:paraId="6669C7DE" w14:textId="77777777" w:rsidR="00F51085" w:rsidRDefault="007C4D6B">
      <w:pPr>
        <w:pStyle w:val="Subtitle"/>
        <w:spacing w:after="240"/>
        <w:rPr>
          <w:b w:val="0"/>
        </w:rPr>
      </w:pPr>
      <w:r>
        <w:rPr>
          <w:rStyle w:val="SubtleEmphasis"/>
          <w:b w:val="0"/>
          <w:vertAlign w:val="superscript"/>
        </w:rPr>
        <w:t>1</w:t>
      </w:r>
      <w:r>
        <w:rPr>
          <w:rStyle w:val="SubtleEmphasis"/>
          <w:b w:val="0"/>
        </w:rPr>
        <w:t xml:space="preserve">aditya@undiknas.ac.id </w:t>
      </w:r>
    </w:p>
    <w:p w14:paraId="03258D02" w14:textId="77777777" w:rsidR="00F51085" w:rsidRDefault="007C4D6B">
      <w:pPr>
        <w:pStyle w:val="Heading1"/>
        <w:spacing w:before="0"/>
      </w:pPr>
      <w:r>
        <w:t xml:space="preserve">Abstract </w:t>
      </w:r>
    </w:p>
    <w:p w14:paraId="529F34C8" w14:textId="77777777" w:rsidR="00F51085" w:rsidRDefault="007C4D6B">
      <w:pPr>
        <w:pStyle w:val="Heading1"/>
        <w:spacing w:before="0"/>
        <w:rPr>
          <w:b w:val="0"/>
          <w:bCs w:val="0"/>
          <w:i/>
          <w:iCs/>
          <w:sz w:val="18"/>
          <w:szCs w:val="24"/>
        </w:rPr>
      </w:pPr>
      <w:r>
        <w:rPr>
          <w:b w:val="0"/>
          <w:bCs w:val="0"/>
          <w:i/>
          <w:iCs/>
          <w:sz w:val="18"/>
          <w:szCs w:val="24"/>
        </w:rPr>
        <w:t>Digitalization in agriculture is becoming increasingly important for improving efficiency and sustainability, but small-scale farmers often face difficulties in adopting digital technologies because of various constraints. This study proposes an open-source intelligent system platform called UDAWA (Universal Digital Agriculture Workflow Assistant) to assist small-scale farmers in digitizing greenhouse management processes. The first variant of this platform, UDAWA Gadadar, was designed as a cyber-physical agent to control and monitor greenhouse instruments. UDAWA Gadadar was built using a 5C architecture approach and farmer-centric design thinking, utilizing an ESP32 microcontroller and a power sensor module to ensure performance and energy efficiency. The UDAWA Gadadar prototype was tested in a small-scale greenhouse with promising results, with an average remaining memory of 175 KB in the non-SSL mode and 122 KB in the SSL mode. Cost analysis indicates that this platform is relatively affordable for small-scale farmers, with a total component cost of USD 33.7 per unit. A decision matrix analysis involving five different greenhouse models in Pancasari Village, Buleleng Regency, Bali, showed that UDAWA Gadadar has high relevance and potential for adoption, particularly in models GH3 and GH5, with compatibility scores of 0.27. This study contributes to the development of appropriate and accessible digitalization solutions for small-scale agriculture, with future work focusing on developing other physical agent variants and a digital twin for enhanced cultivation simulations.</w:t>
      </w:r>
    </w:p>
    <w:p w14:paraId="40B8B932" w14:textId="77777777" w:rsidR="00F51085" w:rsidRDefault="007C4D6B">
      <w:pPr>
        <w:pBdr>
          <w:bottom w:val="single" w:sz="6" w:space="1" w:color="000000"/>
        </w:pBdr>
        <w:spacing w:after="0"/>
        <w:rPr>
          <w:sz w:val="18"/>
          <w:szCs w:val="18"/>
        </w:rPr>
      </w:pPr>
      <w:r>
        <w:rPr>
          <w:rStyle w:val="SubtleEmphasis"/>
          <w:b/>
          <w:bCs/>
          <w:iCs w:val="0"/>
        </w:rPr>
        <w:t>Keywords</w:t>
      </w:r>
      <w:r>
        <w:rPr>
          <w:rStyle w:val="SubtleEmphasis"/>
          <w:iCs w:val="0"/>
        </w:rPr>
        <w:t>:</w:t>
      </w:r>
      <w:r>
        <w:rPr>
          <w:iCs/>
          <w:sz w:val="18"/>
          <w:szCs w:val="18"/>
        </w:rPr>
        <w:t xml:space="preserve"> </w:t>
      </w:r>
      <w:r>
        <w:rPr>
          <w:sz w:val="18"/>
          <w:szCs w:val="18"/>
        </w:rPr>
        <w:t>digitalization of agriculture; small-scale farmers; greenhouses; intelligent systems; open-source</w:t>
      </w:r>
    </w:p>
    <w:p w14:paraId="09A58A29" w14:textId="77777777" w:rsidR="00F51085" w:rsidRDefault="00F51085">
      <w:pPr>
        <w:spacing w:after="0"/>
        <w:rPr>
          <w:i/>
          <w:iCs/>
          <w:sz w:val="12"/>
          <w:szCs w:val="12"/>
        </w:rPr>
      </w:pPr>
    </w:p>
    <w:p w14:paraId="2EB1F5F3" w14:textId="74AD161F" w:rsidR="00F51085" w:rsidRDefault="007C4D6B">
      <w:pPr>
        <w:spacing w:after="0"/>
        <w:rPr>
          <w:color w:val="1F497D" w:themeColor="text2"/>
          <w:sz w:val="16"/>
          <w:szCs w:val="16"/>
        </w:rPr>
      </w:pPr>
      <w:r>
        <w:rPr>
          <w:i/>
          <w:iCs/>
          <w:sz w:val="16"/>
          <w:szCs w:val="16"/>
        </w:rPr>
        <w:t xml:space="preserve">How to </w:t>
      </w:r>
      <w:r>
        <w:rPr>
          <w:i/>
          <w:iCs/>
          <w:color w:val="000000"/>
          <w:sz w:val="16"/>
          <w:szCs w:val="16"/>
        </w:rPr>
        <w:t>Cite:</w:t>
      </w:r>
      <w:r>
        <w:rPr>
          <w:sz w:val="16"/>
          <w:szCs w:val="16"/>
        </w:rPr>
        <w:t xml:space="preserve"> </w:t>
      </w:r>
      <w:r w:rsidR="003A7BE6" w:rsidRPr="003A7BE6">
        <w:rPr>
          <w:color w:val="1F497D" w:themeColor="text2"/>
          <w:sz w:val="16"/>
          <w:szCs w:val="16"/>
        </w:rPr>
        <w:t>I. W. A. Suranata, Ketut Elly Sutrisni, and I Made Surya Adi Putra, “UDAWA Gadadar: Agent-based Cyber-physical System for Universal Small-scale Horticulture Greenhouse Management System”, </w:t>
      </w:r>
      <w:r w:rsidR="003A7BE6" w:rsidRPr="003A7BE6">
        <w:rPr>
          <w:i/>
          <w:iCs/>
          <w:color w:val="1F497D" w:themeColor="text2"/>
          <w:sz w:val="16"/>
          <w:szCs w:val="16"/>
        </w:rPr>
        <w:t>J. RESTI (Rekayasa Sist. Teknol. Inf.</w:t>
      </w:r>
      <w:proofErr w:type="gramStart"/>
      <w:r w:rsidR="003A7BE6" w:rsidRPr="003A7BE6">
        <w:rPr>
          <w:i/>
          <w:iCs/>
          <w:color w:val="1F497D" w:themeColor="text2"/>
          <w:sz w:val="16"/>
          <w:szCs w:val="16"/>
        </w:rPr>
        <w:t>) </w:t>
      </w:r>
      <w:r w:rsidR="003A7BE6" w:rsidRPr="003A7BE6">
        <w:rPr>
          <w:color w:val="1F497D" w:themeColor="text2"/>
          <w:sz w:val="16"/>
          <w:szCs w:val="16"/>
        </w:rPr>
        <w:t>,</w:t>
      </w:r>
      <w:proofErr w:type="gramEnd"/>
      <w:r w:rsidR="003A7BE6" w:rsidRPr="003A7BE6">
        <w:rPr>
          <w:color w:val="1F497D" w:themeColor="text2"/>
          <w:sz w:val="16"/>
          <w:szCs w:val="16"/>
        </w:rPr>
        <w:t xml:space="preserve"> vol. 9, no. 3, pp. 494 - 506, Jun. 2025</w:t>
      </w:r>
    </w:p>
    <w:p w14:paraId="7C3547CF" w14:textId="3C6CAC56" w:rsidR="00F51085" w:rsidRDefault="007C4D6B">
      <w:pPr>
        <w:spacing w:after="0"/>
        <w:rPr>
          <w:color w:val="1F497D" w:themeColor="text2"/>
          <w:sz w:val="16"/>
          <w:szCs w:val="16"/>
          <w:lang w:val="id-ID"/>
        </w:rPr>
      </w:pPr>
      <w:r>
        <w:rPr>
          <w:i/>
          <w:iCs/>
          <w:color w:val="1F497D" w:themeColor="text2"/>
          <w:sz w:val="16"/>
          <w:szCs w:val="16"/>
          <w:lang w:val="id-ID"/>
        </w:rPr>
        <w:t>Permalink/</w:t>
      </w:r>
      <w:r>
        <w:rPr>
          <w:color w:val="1F497D" w:themeColor="text2"/>
          <w:sz w:val="16"/>
          <w:szCs w:val="16"/>
          <w:lang w:val="id-ID"/>
        </w:rPr>
        <w:t xml:space="preserve">DOI: </w:t>
      </w:r>
      <w:hyperlink r:id="rId8" w:history="1">
        <w:r w:rsidR="003A7BE6" w:rsidRPr="003A7BE6">
          <w:rPr>
            <w:rStyle w:val="Hyperlink"/>
            <w:color w:val="1F497D" w:themeColor="text2"/>
            <w:sz w:val="16"/>
            <w:szCs w:val="16"/>
            <w:u w:val="none"/>
          </w:rPr>
          <w:t>https://doi.org/10.29207/resti.v9i3.6267</w:t>
        </w:r>
      </w:hyperlink>
    </w:p>
    <w:p w14:paraId="2310DCEB" w14:textId="77777777" w:rsidR="00F51085" w:rsidRDefault="00F51085">
      <w:pPr>
        <w:spacing w:after="0"/>
        <w:rPr>
          <w:i/>
          <w:iCs/>
          <w:color w:val="000000"/>
          <w:sz w:val="12"/>
          <w:szCs w:val="12"/>
        </w:rPr>
      </w:pPr>
    </w:p>
    <w:tbl>
      <w:tblPr>
        <w:tblStyle w:val="TableGrid"/>
        <w:tblW w:w="9060" w:type="dxa"/>
        <w:tblLayout w:type="fixed"/>
        <w:tblLook w:val="04A0" w:firstRow="1" w:lastRow="0" w:firstColumn="1" w:lastColumn="0" w:noHBand="0" w:noVBand="1"/>
      </w:tblPr>
      <w:tblGrid>
        <w:gridCol w:w="4531"/>
        <w:gridCol w:w="4529"/>
      </w:tblGrid>
      <w:tr w:rsidR="00F51085" w14:paraId="0A845D53" w14:textId="77777777">
        <w:tc>
          <w:tcPr>
            <w:tcW w:w="4530" w:type="dxa"/>
            <w:tcBorders>
              <w:top w:val="nil"/>
              <w:left w:val="nil"/>
              <w:bottom w:val="nil"/>
              <w:right w:val="nil"/>
            </w:tcBorders>
          </w:tcPr>
          <w:p w14:paraId="58F7DBA4" w14:textId="77777777" w:rsidR="00F51085" w:rsidRDefault="007C4D6B" w:rsidP="00DC01D4">
            <w:pPr>
              <w:suppressAutoHyphens w:val="0"/>
              <w:spacing w:after="0"/>
              <w:jc w:val="left"/>
              <w:rPr>
                <w:sz w:val="16"/>
                <w:szCs w:val="16"/>
              </w:rPr>
            </w:pPr>
            <w:r>
              <w:rPr>
                <w:i/>
                <w:iCs/>
                <w:color w:val="000000"/>
                <w:sz w:val="16"/>
                <w:szCs w:val="16"/>
              </w:rPr>
              <w:t>Received</w:t>
            </w:r>
            <w:r>
              <w:rPr>
                <w:sz w:val="16"/>
                <w:szCs w:val="16"/>
              </w:rPr>
              <w:t>:</w:t>
            </w:r>
            <w:r>
              <w:rPr>
                <w:color w:val="1F497D" w:themeColor="text2"/>
                <w:sz w:val="16"/>
                <w:szCs w:val="16"/>
              </w:rPr>
              <w:t xml:space="preserve"> December 29, 2024</w:t>
            </w:r>
          </w:p>
          <w:p w14:paraId="37B20C3A" w14:textId="77777777" w:rsidR="00F51085" w:rsidRDefault="007C4D6B" w:rsidP="00DC01D4">
            <w:pPr>
              <w:suppressAutoHyphens w:val="0"/>
              <w:spacing w:after="0"/>
              <w:jc w:val="left"/>
              <w:rPr>
                <w:sz w:val="16"/>
                <w:szCs w:val="16"/>
              </w:rPr>
            </w:pPr>
            <w:r>
              <w:rPr>
                <w:i/>
                <w:iCs/>
                <w:sz w:val="16"/>
                <w:szCs w:val="16"/>
              </w:rPr>
              <w:t>Accepted</w:t>
            </w:r>
            <w:r>
              <w:rPr>
                <w:sz w:val="16"/>
                <w:szCs w:val="16"/>
              </w:rPr>
              <w:t>:</w:t>
            </w:r>
            <w:r>
              <w:rPr>
                <w:color w:val="1F497D" w:themeColor="text2"/>
                <w:sz w:val="16"/>
                <w:szCs w:val="16"/>
              </w:rPr>
              <w:t xml:space="preserve"> May 31, 2025</w:t>
            </w:r>
          </w:p>
          <w:p w14:paraId="448BEB41" w14:textId="34867642" w:rsidR="00F51085" w:rsidRDefault="007C4D6B" w:rsidP="00DC01D4">
            <w:pPr>
              <w:suppressAutoHyphens w:val="0"/>
              <w:spacing w:after="0"/>
              <w:jc w:val="left"/>
              <w:rPr>
                <w:i/>
                <w:iCs/>
                <w:color w:val="000000"/>
                <w:sz w:val="16"/>
                <w:szCs w:val="16"/>
              </w:rPr>
            </w:pPr>
            <w:r>
              <w:rPr>
                <w:i/>
                <w:iCs/>
                <w:sz w:val="16"/>
                <w:szCs w:val="16"/>
              </w:rPr>
              <w:t>Available Online</w:t>
            </w:r>
            <w:r>
              <w:rPr>
                <w:sz w:val="16"/>
                <w:szCs w:val="16"/>
              </w:rPr>
              <w:t xml:space="preserve">: </w:t>
            </w:r>
            <w:r>
              <w:rPr>
                <w:color w:val="1F497D" w:themeColor="text2"/>
                <w:sz w:val="16"/>
                <w:szCs w:val="16"/>
              </w:rPr>
              <w:t>June 1</w:t>
            </w:r>
            <w:r w:rsidR="00A21814">
              <w:rPr>
                <w:color w:val="1F497D" w:themeColor="text2"/>
                <w:sz w:val="16"/>
                <w:szCs w:val="16"/>
              </w:rPr>
              <w:t>8</w:t>
            </w:r>
            <w:r>
              <w:rPr>
                <w:color w:val="1F497D" w:themeColor="text2"/>
                <w:sz w:val="16"/>
                <w:szCs w:val="16"/>
              </w:rPr>
              <w:t>, 2025</w:t>
            </w:r>
          </w:p>
        </w:tc>
        <w:tc>
          <w:tcPr>
            <w:tcW w:w="4529" w:type="dxa"/>
            <w:tcBorders>
              <w:top w:val="nil"/>
              <w:left w:val="nil"/>
              <w:bottom w:val="nil"/>
              <w:right w:val="nil"/>
            </w:tcBorders>
          </w:tcPr>
          <w:p w14:paraId="46CD02D1" w14:textId="77777777" w:rsidR="00F51085" w:rsidRDefault="00F51085">
            <w:pPr>
              <w:suppressAutoHyphens w:val="0"/>
              <w:spacing w:after="0"/>
              <w:rPr>
                <w:i/>
                <w:sz w:val="16"/>
                <w:szCs w:val="16"/>
              </w:rPr>
            </w:pPr>
          </w:p>
          <w:p w14:paraId="41F1DC79" w14:textId="77777777" w:rsidR="00F51085" w:rsidRDefault="007C4D6B">
            <w:pPr>
              <w:suppressAutoHyphens w:val="0"/>
              <w:spacing w:after="0"/>
              <w:jc w:val="right"/>
            </w:pPr>
            <w:r>
              <w:rPr>
                <w:i/>
                <w:sz w:val="16"/>
                <w:szCs w:val="16"/>
              </w:rPr>
              <w:t xml:space="preserve">This is an open-access article under the </w:t>
            </w:r>
            <w:hyperlink r:id="rId9">
              <w:r>
                <w:rPr>
                  <w:rStyle w:val="Hyperlink"/>
                  <w:i/>
                  <w:color w:val="auto"/>
                  <w:sz w:val="16"/>
                  <w:szCs w:val="16"/>
                  <w:u w:val="none"/>
                </w:rPr>
                <w:t>CC BY 4.0 License</w:t>
              </w:r>
            </w:hyperlink>
            <w:r>
              <w:t xml:space="preserve"> </w:t>
            </w:r>
          </w:p>
          <w:p w14:paraId="76A3F1E9" w14:textId="77777777" w:rsidR="00F51085" w:rsidRDefault="007C4D6B">
            <w:pPr>
              <w:suppressAutoHyphens w:val="0"/>
              <w:spacing w:after="0"/>
              <w:jc w:val="right"/>
              <w:rPr>
                <w:i/>
                <w:iCs/>
                <w:color w:val="000000"/>
                <w:sz w:val="16"/>
                <w:szCs w:val="16"/>
              </w:rPr>
            </w:pPr>
            <w:r>
              <w:rPr>
                <w:i/>
                <w:sz w:val="16"/>
                <w:szCs w:val="16"/>
              </w:rPr>
              <w:t xml:space="preserve">Published by </w:t>
            </w:r>
            <w:hyperlink r:id="rId10">
              <w:r>
                <w:rPr>
                  <w:rStyle w:val="Hyperlink"/>
                  <w:i/>
                  <w:color w:val="auto"/>
                  <w:sz w:val="16"/>
                  <w:szCs w:val="16"/>
                  <w:u w:val="none"/>
                </w:rPr>
                <w:t>Ikatan Ahli Informatika Indonesia</w:t>
              </w:r>
            </w:hyperlink>
          </w:p>
        </w:tc>
      </w:tr>
    </w:tbl>
    <w:p w14:paraId="12FCFF5D" w14:textId="77777777" w:rsidR="00F51085" w:rsidRDefault="007C4D6B">
      <w:pPr>
        <w:pBdr>
          <w:bottom w:val="single" w:sz="6" w:space="1" w:color="000000"/>
        </w:pBdr>
        <w:spacing w:after="0"/>
        <w:rPr>
          <w:i/>
          <w:sz w:val="16"/>
          <w:szCs w:val="16"/>
        </w:rPr>
      </w:pPr>
      <w:r>
        <w:rPr>
          <w:i/>
          <w:sz w:val="16"/>
          <w:szCs w:val="16"/>
        </w:rPr>
        <w:t xml:space="preserve">                                                                                               </w:t>
      </w:r>
    </w:p>
    <w:p w14:paraId="0EDD4DD5" w14:textId="77777777" w:rsidR="00F51085" w:rsidRDefault="00F51085">
      <w:pPr>
        <w:spacing w:after="0"/>
        <w:rPr>
          <w:sz w:val="18"/>
          <w:szCs w:val="18"/>
        </w:rPr>
      </w:pPr>
    </w:p>
    <w:p w14:paraId="5AFF9CF3" w14:textId="77777777" w:rsidR="00F51085" w:rsidRDefault="00F51085">
      <w:pPr>
        <w:sectPr w:rsidR="00F51085" w:rsidSect="00DC01D4">
          <w:headerReference w:type="default" r:id="rId11"/>
          <w:footerReference w:type="default" r:id="rId12"/>
          <w:footerReference w:type="first" r:id="rId13"/>
          <w:pgSz w:w="11906" w:h="16838"/>
          <w:pgMar w:top="1418" w:right="1418" w:bottom="1418" w:left="1418" w:header="709" w:footer="709" w:gutter="0"/>
          <w:pgNumType w:start="494"/>
          <w:cols w:space="720"/>
          <w:formProt w:val="0"/>
          <w:titlePg/>
          <w:docGrid w:linePitch="360" w:charSpace="32768"/>
        </w:sectPr>
      </w:pPr>
    </w:p>
    <w:p w14:paraId="1B34F570" w14:textId="77777777" w:rsidR="00F51085" w:rsidRDefault="007C4D6B">
      <w:pPr>
        <w:pStyle w:val="ListParagraph"/>
        <w:numPr>
          <w:ilvl w:val="0"/>
          <w:numId w:val="1"/>
        </w:numPr>
        <w:spacing w:after="120"/>
        <w:ind w:left="284" w:hanging="284"/>
        <w:rPr>
          <w:b/>
          <w:bCs/>
        </w:rPr>
      </w:pPr>
      <w:r>
        <w:rPr>
          <w:b/>
          <w:bCs/>
        </w:rPr>
        <w:t xml:space="preserve">Introduction </w:t>
      </w:r>
    </w:p>
    <w:p w14:paraId="59B89763" w14:textId="77E71978" w:rsidR="00F51085" w:rsidRDefault="007C4D6B">
      <w:pPr>
        <w:pStyle w:val="normal1"/>
        <w:spacing w:after="120"/>
        <w:jc w:val="both"/>
      </w:pPr>
      <w:r>
        <w:t>By 2050, the world population is projected to reach 9 billion people</w:t>
      </w:r>
      <w:r w:rsidR="00E8357E">
        <w:t xml:space="preserve"> </w:t>
      </w:r>
      <w:bookmarkStart w:id="1" w:name="ZOTERO_BREF_PrI5OvUIBqj4"/>
      <w:r w:rsidR="00E8357E" w:rsidRPr="00E8357E">
        <w:rPr>
          <w:rFonts w:cs="Times New Roman"/>
        </w:rPr>
        <w:t>[1], [2]</w:t>
      </w:r>
      <w:bookmarkEnd w:id="1"/>
      <w:r>
        <w:t>. This large population puts significant pressur</w:t>
      </w:r>
      <w:r w:rsidR="00E8357E">
        <w:t xml:space="preserve">e on food production systems </w:t>
      </w:r>
      <w:bookmarkStart w:id="2" w:name="ZOTERO_BREF_kVULlHU6lC0V"/>
      <w:r w:rsidR="00E8357E" w:rsidRPr="00E8357E">
        <w:rPr>
          <w:rFonts w:cs="Times New Roman"/>
        </w:rPr>
        <w:t>[3]</w:t>
      </w:r>
      <w:bookmarkEnd w:id="2"/>
      <w:r>
        <w:t>, emphasizing the importance of efficient and sustai</w:t>
      </w:r>
      <w:r w:rsidR="00E8357E">
        <w:t xml:space="preserve">nable agricultural practices </w:t>
      </w:r>
      <w:bookmarkStart w:id="3" w:name="ZOTERO_BREF_iExrsjA00S4d"/>
      <w:r w:rsidR="00E8357E" w:rsidRPr="00E8357E">
        <w:rPr>
          <w:rFonts w:cs="Times New Roman"/>
        </w:rPr>
        <w:t>[4]</w:t>
      </w:r>
      <w:bookmarkEnd w:id="3"/>
      <w:r>
        <w:t xml:space="preserve">. The global industrial-scale food production system has begun a transition towards greater efficiency and sustainability, including the implementation of Good </w:t>
      </w:r>
      <w:r w:rsidR="00E8357E">
        <w:t xml:space="preserve">Agricultural Practices (GAP) </w:t>
      </w:r>
      <w:bookmarkStart w:id="4" w:name="ZOTERO_BREF_4G8jaYFm4V5R"/>
      <w:r w:rsidR="00E8357E" w:rsidRPr="00E8357E">
        <w:rPr>
          <w:rFonts w:cs="Times New Roman"/>
        </w:rPr>
        <w:t>[5]</w:t>
      </w:r>
      <w:bookmarkEnd w:id="4"/>
      <w:r>
        <w:t>. In practice, GAP involves the application of precision agriculture and smart farming technologies to e</w:t>
      </w:r>
      <w:r w:rsidR="00E8357E">
        <w:t xml:space="preserve">nhance farming processes </w:t>
      </w:r>
      <w:bookmarkStart w:id="5" w:name="ZOTERO_BREF_PcRuXtIGG3qx"/>
      <w:r w:rsidR="00E8357E" w:rsidRPr="00E8357E">
        <w:rPr>
          <w:rFonts w:cs="Times New Roman"/>
        </w:rPr>
        <w:t>[6]</w:t>
      </w:r>
      <w:r w:rsidR="00A21814">
        <w:rPr>
          <w:rFonts w:cs="Times New Roman"/>
        </w:rPr>
        <w:t>-</w:t>
      </w:r>
      <w:r w:rsidR="00E8357E" w:rsidRPr="00E8357E">
        <w:rPr>
          <w:rFonts w:cs="Times New Roman"/>
        </w:rPr>
        <w:t>[8]</w:t>
      </w:r>
      <w:bookmarkEnd w:id="5"/>
      <w:r>
        <w:t xml:space="preserve">. Precision agriculture refers to the application of precision in farming processes according to specific conditions and needs, such as the use of variable rate </w:t>
      </w:r>
      <w:r>
        <w:t>technology to optimize resource expend</w:t>
      </w:r>
      <w:r w:rsidR="00E8357E">
        <w:t xml:space="preserve">iture </w:t>
      </w:r>
      <w:bookmarkStart w:id="6" w:name="ZOTERO_BREF_Sm48nZJUS3rj"/>
      <w:r w:rsidR="00E8357E" w:rsidRPr="00E8357E">
        <w:rPr>
          <w:rFonts w:cs="Times New Roman"/>
        </w:rPr>
        <w:t>[9]</w:t>
      </w:r>
      <w:bookmarkEnd w:id="6"/>
      <w:r>
        <w:t>. Smart farming enables farmers to make data-driven decisions and auto</w:t>
      </w:r>
      <w:r w:rsidR="00E8357E">
        <w:t xml:space="preserve">mate farm management actions </w:t>
      </w:r>
      <w:bookmarkStart w:id="7" w:name="ZOTERO_BREF_6HWu1rsXS4yL"/>
      <w:r w:rsidR="00E8357E" w:rsidRPr="00E8357E">
        <w:rPr>
          <w:rFonts w:cs="Times New Roman"/>
        </w:rPr>
        <w:t>[2], [10]</w:t>
      </w:r>
      <w:bookmarkEnd w:id="7"/>
      <w:r>
        <w:t>. However, the adoption of GAP supported by digital technology is not readily accessible to all farmers. The high cost of technology investment, farmers' lack of understanding of digital technology, and concerns about vendor lock-in, which forces farmers to rely on specific vendors, hinder the adoption of digital technology, particularl</w:t>
      </w:r>
      <w:r w:rsidR="00E8357E">
        <w:t xml:space="preserve">y among small-scale farmers </w:t>
      </w:r>
      <w:bookmarkStart w:id="8" w:name="ZOTERO_BREF_iNE2SUWSRPGi"/>
      <w:r w:rsidR="00E8357E" w:rsidRPr="00E8357E">
        <w:rPr>
          <w:rFonts w:cs="Times New Roman"/>
        </w:rPr>
        <w:t>[11]</w:t>
      </w:r>
      <w:bookmarkEnd w:id="8"/>
      <w:r>
        <w:t xml:space="preserve">. </w:t>
      </w:r>
    </w:p>
    <w:p w14:paraId="199498AB" w14:textId="77777777" w:rsidR="00F51085" w:rsidRDefault="007C4D6B">
      <w:pPr>
        <w:pStyle w:val="normal1"/>
        <w:spacing w:after="120"/>
        <w:jc w:val="both"/>
      </w:pPr>
      <w:r>
        <w:t>Small-scale farmers play a vital role in maintaining the social and economic stability of lo</w:t>
      </w:r>
      <w:r w:rsidR="00E8357E">
        <w:t xml:space="preserve">wer-middle-class communities </w:t>
      </w:r>
      <w:bookmarkStart w:id="9" w:name="ZOTERO_BREF_o6bD2SBm7XOZ"/>
      <w:r w:rsidR="00E8357E" w:rsidRPr="00E8357E">
        <w:rPr>
          <w:rFonts w:cs="Times New Roman"/>
        </w:rPr>
        <w:t>[2]</w:t>
      </w:r>
      <w:bookmarkEnd w:id="9"/>
      <w:r>
        <w:t xml:space="preserve">. The importance of small-scale farmers in maintaining social and economic stability </w:t>
      </w:r>
      <w:r>
        <w:lastRenderedPageBreak/>
        <w:t>was evident during the COVID-19 pandemic</w:t>
      </w:r>
      <w:r w:rsidR="00E8357E">
        <w:t xml:space="preserve"> </w:t>
      </w:r>
      <w:bookmarkStart w:id="10" w:name="ZOTERO_BREF_L1z1OX6ECplr"/>
      <w:r w:rsidR="00E8357E" w:rsidRPr="00E8357E">
        <w:rPr>
          <w:rFonts w:cs="Times New Roman"/>
        </w:rPr>
        <w:t>[12], [13], [14]</w:t>
      </w:r>
      <w:bookmarkEnd w:id="10"/>
      <w:r>
        <w:t>. Small-scale farmers proved capable of stimulating the local economy and providing a supply of fresh f</w:t>
      </w:r>
      <w:r w:rsidR="00E8357E">
        <w:t xml:space="preserve">ood for the community </w:t>
      </w:r>
      <w:bookmarkStart w:id="11" w:name="ZOTERO_BREF_Cv3f0t8FreNF"/>
      <w:r w:rsidR="00E8357E" w:rsidRPr="00E8357E">
        <w:rPr>
          <w:rFonts w:cs="Times New Roman"/>
        </w:rPr>
        <w:t>[15], [16]</w:t>
      </w:r>
      <w:bookmarkEnd w:id="11"/>
      <w:r>
        <w:t>. The crucial role of small-scale farmers in promoting an efficient and sustainable food supply system underscores the urgency of addressing the challenges of implementing digital agricultural technology within the context of small-scale farming. A major challenge faced by small-scale farmers is low productivity due to their limitations in optimizing water, energy, and fertilizer resour</w:t>
      </w:r>
      <w:r w:rsidR="00E8357E">
        <w:t xml:space="preserve">ces </w:t>
      </w:r>
      <w:bookmarkStart w:id="12" w:name="ZOTERO_BREF_lmCVQgc14bIF"/>
      <w:r w:rsidR="00E8357E" w:rsidRPr="00E8357E">
        <w:rPr>
          <w:rFonts w:cs="Times New Roman"/>
        </w:rPr>
        <w:t>[17]</w:t>
      </w:r>
      <w:bookmarkEnd w:id="12"/>
      <w:r>
        <w:t>. To optimize resources, small-scale farmers are beginning to adopt green</w:t>
      </w:r>
      <w:r w:rsidR="00E8357E">
        <w:t xml:space="preserve">house farming methods </w:t>
      </w:r>
      <w:bookmarkStart w:id="13" w:name="ZOTERO_BREF_0im3cBZBkqvV"/>
      <w:r w:rsidR="00E8357E" w:rsidRPr="00E8357E">
        <w:rPr>
          <w:rFonts w:cs="Times New Roman"/>
        </w:rPr>
        <w:t>[18], [19]</w:t>
      </w:r>
      <w:bookmarkEnd w:id="13"/>
      <w:r>
        <w:t>. Greenhouse cultivation has been shown to provide income for farmers and improve the quality of yields compared to conventional open-field met</w:t>
      </w:r>
      <w:r w:rsidR="00E8357E">
        <w:t xml:space="preserve">hods </w:t>
      </w:r>
      <w:bookmarkStart w:id="14" w:name="ZOTERO_BREF_uirjSicMzDgh"/>
      <w:r w:rsidR="00E8357E" w:rsidRPr="00E8357E">
        <w:rPr>
          <w:rFonts w:cs="Times New Roman"/>
        </w:rPr>
        <w:t>[20]</w:t>
      </w:r>
      <w:bookmarkEnd w:id="14"/>
      <w:r>
        <w:t>.</w:t>
      </w:r>
    </w:p>
    <w:p w14:paraId="74B19A94" w14:textId="029B7A4B" w:rsidR="00F51085" w:rsidRDefault="007C4D6B">
      <w:pPr>
        <w:pStyle w:val="normal1"/>
        <w:spacing w:after="120"/>
        <w:jc w:val="both"/>
      </w:pPr>
      <w:r>
        <w:t>Although greenhouse farming methods are superior to open-field farming methods, small-scale farmers have problems mana</w:t>
      </w:r>
      <w:r w:rsidR="00E8357E">
        <w:t xml:space="preserve">ging their greenhouses </w:t>
      </w:r>
      <w:bookmarkStart w:id="15" w:name="ZOTERO_BREF_unf4WHl8PECk"/>
      <w:r w:rsidR="00E8357E" w:rsidRPr="00E8357E">
        <w:rPr>
          <w:rFonts w:cs="Times New Roman"/>
        </w:rPr>
        <w:t>[21]</w:t>
      </w:r>
      <w:r w:rsidR="00A21814">
        <w:rPr>
          <w:rFonts w:cs="Times New Roman"/>
        </w:rPr>
        <w:t>-</w:t>
      </w:r>
      <w:r w:rsidR="00E8357E" w:rsidRPr="00E8357E">
        <w:rPr>
          <w:rFonts w:cs="Times New Roman"/>
        </w:rPr>
        <w:t>[23]</w:t>
      </w:r>
      <w:bookmarkEnd w:id="15"/>
      <w:r>
        <w:t>. Greenhouse farming methods generally involve hydroponic techniques, which rely on nutrient-rich mineral water solutions that can be absor</w:t>
      </w:r>
      <w:r w:rsidR="00E8357E">
        <w:t xml:space="preserve">bed directly by plant roots </w:t>
      </w:r>
      <w:bookmarkStart w:id="16" w:name="ZOTERO_BREF_HD6e2Gt66lD8"/>
      <w:r w:rsidR="00E8357E" w:rsidRPr="00E8357E">
        <w:rPr>
          <w:rFonts w:cs="Times New Roman"/>
        </w:rPr>
        <w:t>[24]</w:t>
      </w:r>
      <w:bookmarkEnd w:id="16"/>
      <w:r>
        <w:t>. Various hydroponic techniques for certain commodity types require special attention for</w:t>
      </w:r>
      <w:r w:rsidR="00E8357E">
        <w:t xml:space="preserve"> optimal plant growth </w:t>
      </w:r>
      <w:bookmarkStart w:id="17" w:name="ZOTERO_BREF_wr9nYUHneNSa"/>
      <w:r w:rsidR="00E8357E" w:rsidRPr="00E8357E">
        <w:rPr>
          <w:rFonts w:cs="Times New Roman"/>
        </w:rPr>
        <w:t>[24], [25]</w:t>
      </w:r>
      <w:bookmarkEnd w:id="17"/>
      <w:r>
        <w:t>. The levels of dissolved minerals must be adjusted to the plant phase (vegetative and generative), environmental conditions, including temperature, humidity, and lighting. In addition to managing fertigation (fertilization and irrigation), farmers must also protect their greenho</w:t>
      </w:r>
      <w:r w:rsidR="00E8357E">
        <w:t xml:space="preserve">uses from pest attacks </w:t>
      </w:r>
      <w:bookmarkStart w:id="18" w:name="ZOTERO_BREF_oqrrWCSvIZB8"/>
      <w:r w:rsidR="00E8357E" w:rsidRPr="00E8357E">
        <w:rPr>
          <w:rFonts w:cs="Times New Roman"/>
        </w:rPr>
        <w:t>[26]</w:t>
      </w:r>
      <w:r w:rsidR="00A21814">
        <w:rPr>
          <w:rFonts w:cs="Times New Roman"/>
        </w:rPr>
        <w:t>-</w:t>
      </w:r>
      <w:r w:rsidR="00E8357E" w:rsidRPr="00E8357E">
        <w:rPr>
          <w:rFonts w:cs="Times New Roman"/>
        </w:rPr>
        <w:t>[28]</w:t>
      </w:r>
      <w:bookmarkEnd w:id="18"/>
      <w:r>
        <w:t>. Although greenhouses provide protection against insects, non-ideal and routinely uncontrolled conditions can turn greenhouses into breeding grounds for pests, includ</w:t>
      </w:r>
      <w:r w:rsidR="00E8357E">
        <w:t xml:space="preserve">ing fungi and viruses </w:t>
      </w:r>
      <w:bookmarkStart w:id="19" w:name="ZOTERO_BREF_KUF9lOIO0uKH"/>
      <w:r w:rsidR="00E8357E" w:rsidRPr="00E8357E">
        <w:rPr>
          <w:rFonts w:cs="Times New Roman"/>
        </w:rPr>
        <w:t>[29], [30]</w:t>
      </w:r>
      <w:bookmarkEnd w:id="19"/>
      <w:r>
        <w:t xml:space="preserve">. This problem is more or less the same as that faced by industrial-scale greenhouse farmers, but the difference lies in the digital technology options that generally only target industrial-scale farmers. The digitalization and automation of greenhouse management processes for small-scale farmers in resource-constrained environments pose new challenges, so the design of digitalization solutions for small-scale greenhouse management that are specifically designed for resource-constrained environments becomes important. </w:t>
      </w:r>
    </w:p>
    <w:p w14:paraId="5C842463" w14:textId="07A89BC5" w:rsidR="00F51085" w:rsidRDefault="007C4D6B">
      <w:pPr>
        <w:pStyle w:val="normal1"/>
        <w:spacing w:after="120"/>
        <w:jc w:val="both"/>
      </w:pPr>
      <w:r>
        <w:t>A substantial body of research has been conducted to develop precision agriculture and smart farming solutions, with nearly all aspects of crop and greenhouse management covered in these studies</w:t>
      </w:r>
      <w:r w:rsidR="00E8357E">
        <w:t xml:space="preserve"> </w:t>
      </w:r>
      <w:bookmarkStart w:id="20" w:name="ZOTERO_BREF_sGzNodIxmd0f"/>
      <w:r w:rsidR="00E8357E" w:rsidRPr="00E8357E">
        <w:rPr>
          <w:rFonts w:cs="Times New Roman"/>
        </w:rPr>
        <w:t>[8], [24], [25], [31]</w:t>
      </w:r>
      <w:r w:rsidR="00A21814">
        <w:rPr>
          <w:rFonts w:cs="Times New Roman"/>
        </w:rPr>
        <w:t>-</w:t>
      </w:r>
      <w:r w:rsidR="00E8357E" w:rsidRPr="00E8357E">
        <w:rPr>
          <w:rFonts w:cs="Times New Roman"/>
        </w:rPr>
        <w:t>[40]</w:t>
      </w:r>
      <w:bookmarkEnd w:id="20"/>
      <w:r>
        <w:t>. The technologies involved in these solutions are diverse, ranging from the Internet of Things, artificial intelligence, edge and cloud computing, digital twins, to network protocol options such as WiFi, LPWAN, and Zigbee. Various hardware platforms, both open-source and proprietary, are also utilized, with Arduino, ESP32, and Raspberry PI being the most common for low-cost contexts. The automation of irrigation and environmental control (temperature, humidity, and light) in greenhouses is the most frequently studied aspect. Some studies also examine the implementation of unified architectures like OPC-UA in cyber-physical systems to address interoperability issues that tend to be challenging to implement on smart device</w:t>
      </w:r>
      <w:r w:rsidR="00900F7D">
        <w:t xml:space="preserve">s made by different vendors </w:t>
      </w:r>
      <w:bookmarkStart w:id="21" w:name="ZOTERO_BREF_wkpqkBnFAO5E"/>
      <w:r w:rsidR="00900F7D" w:rsidRPr="00900F7D">
        <w:rPr>
          <w:rFonts w:cs="Times New Roman"/>
        </w:rPr>
        <w:t>[41]</w:t>
      </w:r>
      <w:bookmarkEnd w:id="21"/>
      <w:r>
        <w:t xml:space="preserve">. However, despite all this, researchers have not found a study that comprehensively unites all these puzzle pieces into a single design for a digitalized greenhouse management solution specifically targeting small-scale farmers and released as open-source to build digital sovereignty for smallholder farmers. </w:t>
      </w:r>
    </w:p>
    <w:p w14:paraId="5474D749" w14:textId="77777777" w:rsidR="00F51085" w:rsidRDefault="007C4D6B">
      <w:pPr>
        <w:pStyle w:val="normal1"/>
        <w:spacing w:after="120"/>
        <w:jc w:val="both"/>
        <w:rPr>
          <w:bCs/>
          <w:color w:val="000000"/>
        </w:rPr>
      </w:pPr>
      <w:r>
        <w:rPr>
          <w:bCs/>
          <w:color w:val="000000"/>
        </w:rPr>
        <w:t xml:space="preserve">The primary objective of this research is to develop a digitalization solution for managing small-scale horticultural greenhouses in the form of an open-source smart system platform called UDAWA (Universal Digital Agriculture Workflow Assistant). The UDAWA platform is designed with a 5C architecture approach and farmer-centric design thinking to ensure cost-effectiveness and practicality, with farmers as the primary source for designing the platform's subsystems. In this initial stage, a UDAWA Gadadar variant subsystem is built for universal control of greenhouse instruments. Simply put, UDAWA Gadadar will act as a cyber-physical agent enabling the transformation of existing instruments in the greenhouse, such as pumps, blowers, grow lights, and foggers, to be digitally controlled and monitored. This digitalization is crucial to enable small-scale farmers to make more accurate, data-driven decisions. </w:t>
      </w:r>
    </w:p>
    <w:p w14:paraId="2173E5E3" w14:textId="77777777" w:rsidR="00F51085" w:rsidRDefault="007C4D6B">
      <w:pPr>
        <w:pStyle w:val="normal1"/>
        <w:spacing w:after="120"/>
        <w:jc w:val="both"/>
      </w:pPr>
      <w:r>
        <w:t xml:space="preserve">The final outcome of this research is an open-source cyber-physical system design consisting of hardware and software designs tailored to the resource-constrained environments of small-scale greenhouse farmers. To validate our proposed cyber-physical agent design, we conducted a multicase study using a greenhouse model in Pancasari Village, Buleleng Regency, Bali, which serves as a center for greenhouse-based horticultural farming in Bali. Furthermore, we also built a prototype greenhouse instrument control agent as a technical proof-of-concept, where we analyzed its feature suitability, performance, and procurement and maintenance costs to understand the real-world potential of our proposed system design. </w:t>
      </w:r>
    </w:p>
    <w:p w14:paraId="7646EB2F" w14:textId="77777777" w:rsidR="00F51085" w:rsidRDefault="007C4D6B">
      <w:pPr>
        <w:pStyle w:val="Heading1"/>
        <w:numPr>
          <w:ilvl w:val="0"/>
          <w:numId w:val="2"/>
        </w:numPr>
        <w:tabs>
          <w:tab w:val="clear" w:pos="720"/>
          <w:tab w:val="left" w:pos="426"/>
        </w:tabs>
        <w:ind w:left="284" w:hanging="284"/>
        <w:rPr>
          <w:szCs w:val="20"/>
        </w:rPr>
      </w:pPr>
      <w:r>
        <w:rPr>
          <w:szCs w:val="20"/>
        </w:rPr>
        <w:t>Methods</w:t>
      </w:r>
    </w:p>
    <w:p w14:paraId="19B97358" w14:textId="77777777" w:rsidR="00F51085" w:rsidRDefault="007C4D6B">
      <w:pPr>
        <w:pStyle w:val="Heading2"/>
        <w:spacing w:before="120" w:after="120"/>
        <w:rPr>
          <w:iCs/>
        </w:rPr>
      </w:pPr>
      <w:r>
        <w:rPr>
          <w:iCs/>
          <w:color w:val="000000"/>
          <w:szCs w:val="20"/>
        </w:rPr>
        <w:t>2.1 System Architecture Design</w:t>
      </w:r>
    </w:p>
    <w:p w14:paraId="7A8AC7D0" w14:textId="77777777" w:rsidR="00F51085" w:rsidRDefault="007C4D6B">
      <w:pPr>
        <w:pStyle w:val="BodyText"/>
      </w:pPr>
      <w:r>
        <w:t xml:space="preserve">This study designs a cyber-physical system (CPS) for small-scale greenhouse farmers using an agent-oriented architecture and user-centered design principles. Focusing on Pancasari Village, Buleleng Regency, Bali, a hub </w:t>
      </w:r>
      <w:r w:rsidR="00900F7D">
        <w:t xml:space="preserve">for greenhouse horticulture </w:t>
      </w:r>
      <w:bookmarkStart w:id="22" w:name="ZOTERO_BREF_zedXwnrdLL56"/>
      <w:r w:rsidR="00900F7D" w:rsidRPr="00900F7D">
        <w:t>[42], [43]</w:t>
      </w:r>
      <w:bookmarkEnd w:id="22"/>
      <w:r>
        <w:t xml:space="preserve"> the design process involved participatory observation of five greenhouses, representing two distinct business models: market gardening and agri-tourism. A universal greenhouse model and a corresponding multi-tier CPS architecture were developed as shown in Figure 1. This architecture comprises three levels: the greenhouse level (Tier 1), the farm level (Tier 2), an</w:t>
      </w:r>
      <w:r w:rsidR="00900F7D">
        <w:t xml:space="preserve">d the global level (Tier 3) </w:t>
      </w:r>
      <w:bookmarkStart w:id="23" w:name="ZOTERO_BREF_XTFBDkvCpXfa"/>
      <w:r w:rsidR="00900F7D" w:rsidRPr="00900F7D">
        <w:t>[44]</w:t>
      </w:r>
      <w:bookmarkEnd w:id="23"/>
      <w:r>
        <w:t>.</w:t>
      </w:r>
    </w:p>
    <w:p w14:paraId="39207664" w14:textId="77777777" w:rsidR="00F51085" w:rsidRDefault="007C4D6B">
      <w:pPr>
        <w:pStyle w:val="BodyText"/>
      </w:pPr>
      <w:r>
        <w:t xml:space="preserve">Tier 1 focuses on greenhouse instrument digitalization and automation, enabling real-time monitoring and control via smartphones through a local network. Critically, Tier 1 operates independently, both online and offline, ensuring continuous operation. Tier 2 integrates data from all greenhouses on a farm, facilitating resource management, data-driven decision support, and productivity analysis. Similar to Tier 1, Tier 2 agents operate independently to maintain data privacy and function regardless of network connectivity. Tier 3 connects to external platforms, providing access to market information, weather forecasts, and other support services. This multi-tier approach ensures system scalability, resilience, and flexibility, allowing for phased implementation based on farmer needs and capabilities. Farmers can initially focus on Tier 1 digitalization, expanding to Tiers 2 and 3 as their needs and capacities evolve. This architecture also supports future interoperability and integration with other agricultural technologies. </w:t>
      </w:r>
    </w:p>
    <w:p w14:paraId="2D6AAFAC" w14:textId="77777777" w:rsidR="00F51085" w:rsidRDefault="00F51085">
      <w:pPr>
        <w:sectPr w:rsidR="00F51085">
          <w:type w:val="continuous"/>
          <w:pgSz w:w="11906" w:h="16838"/>
          <w:pgMar w:top="1418" w:right="1418" w:bottom="1418" w:left="1418" w:header="709" w:footer="709" w:gutter="0"/>
          <w:cols w:num="2" w:space="226"/>
          <w:formProt w:val="0"/>
          <w:titlePg/>
          <w:docGrid w:linePitch="360" w:charSpace="32768"/>
        </w:sectPr>
      </w:pPr>
    </w:p>
    <w:p w14:paraId="70E22F0D" w14:textId="77777777" w:rsidR="00F51085" w:rsidRDefault="007C4D6B">
      <w:pPr>
        <w:spacing w:after="120"/>
      </w:pPr>
      <w:r>
        <w:rPr>
          <w:noProof/>
          <w:lang w:val="id-ID" w:eastAsia="id-ID"/>
        </w:rPr>
        <w:drawing>
          <wp:inline distT="0" distB="0" distL="0" distR="0" wp14:anchorId="4FEF819A" wp14:editId="324BD9FF">
            <wp:extent cx="5759450" cy="222821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4" cstate="print"/>
                    <a:stretch>
                      <a:fillRect/>
                    </a:stretch>
                  </pic:blipFill>
                  <pic:spPr bwMode="auto">
                    <a:xfrm>
                      <a:off x="0" y="0"/>
                      <a:ext cx="5759450" cy="2228215"/>
                    </a:xfrm>
                    <a:prstGeom prst="rect">
                      <a:avLst/>
                    </a:prstGeom>
                    <a:noFill/>
                  </pic:spPr>
                </pic:pic>
              </a:graphicData>
            </a:graphic>
          </wp:inline>
        </w:drawing>
      </w:r>
    </w:p>
    <w:p w14:paraId="3033F032" w14:textId="08DBB114" w:rsidR="00F51085" w:rsidRDefault="007C4D6B">
      <w:pPr>
        <w:spacing w:after="120"/>
        <w:jc w:val="center"/>
        <w:rPr>
          <w:sz w:val="16"/>
          <w:szCs w:val="18"/>
        </w:rPr>
      </w:pPr>
      <w:r>
        <w:rPr>
          <w:sz w:val="16"/>
          <w:szCs w:val="18"/>
        </w:rPr>
        <w:t xml:space="preserve">Figure </w:t>
      </w:r>
      <w:r w:rsidR="00F51085">
        <w:rPr>
          <w:sz w:val="16"/>
          <w:szCs w:val="18"/>
        </w:rPr>
        <w:fldChar w:fldCharType="begin"/>
      </w:r>
      <w:r>
        <w:rPr>
          <w:sz w:val="16"/>
          <w:szCs w:val="18"/>
        </w:rPr>
        <w:instrText xml:space="preserve"> SEQ Gambar \* ARABIC </w:instrText>
      </w:r>
      <w:r w:rsidR="00F51085">
        <w:rPr>
          <w:sz w:val="16"/>
          <w:szCs w:val="18"/>
        </w:rPr>
        <w:fldChar w:fldCharType="separate"/>
      </w:r>
      <w:r w:rsidR="00C8313A">
        <w:rPr>
          <w:noProof/>
          <w:sz w:val="16"/>
          <w:szCs w:val="18"/>
        </w:rPr>
        <w:t>1</w:t>
      </w:r>
      <w:r w:rsidR="00F51085">
        <w:rPr>
          <w:sz w:val="16"/>
          <w:szCs w:val="18"/>
        </w:rPr>
        <w:fldChar w:fldCharType="end"/>
      </w:r>
      <w:r>
        <w:rPr>
          <w:sz w:val="16"/>
          <w:szCs w:val="18"/>
        </w:rPr>
        <w:t xml:space="preserve">. Small-scale horticulture greenhouse model and the big picture of the multi-tier agent-based cyber-physical system </w:t>
      </w:r>
      <w:r>
        <w:rPr>
          <w:sz w:val="16"/>
          <w:szCs w:val="18"/>
        </w:rPr>
        <w:br/>
        <w:t>for small-scale horticulture</w:t>
      </w:r>
    </w:p>
    <w:p w14:paraId="53928C59" w14:textId="77777777" w:rsidR="00F51085" w:rsidRDefault="00F51085">
      <w:pPr>
        <w:sectPr w:rsidR="00F51085">
          <w:type w:val="continuous"/>
          <w:pgSz w:w="11906" w:h="16838"/>
          <w:pgMar w:top="1418" w:right="1418" w:bottom="1418" w:left="1418" w:header="709" w:footer="709" w:gutter="0"/>
          <w:cols w:space="720"/>
          <w:formProt w:val="0"/>
          <w:titlePg/>
          <w:docGrid w:linePitch="360" w:charSpace="32768"/>
        </w:sectPr>
      </w:pPr>
    </w:p>
    <w:p w14:paraId="381F1889" w14:textId="77777777" w:rsidR="00F51085" w:rsidRDefault="007C4D6B">
      <w:pPr>
        <w:pStyle w:val="BodyText"/>
      </w:pPr>
      <w:r>
        <w:t>To develop an effective cyber-physical agent for greenhouse management, the 5C CPS architecture (Connection, Conversion, Cyber, Cognition, and Configuration) was chosen a</w:t>
      </w:r>
      <w:r w:rsidR="00900F7D">
        <w:t xml:space="preserve">s a guiding framework </w:t>
      </w:r>
      <w:bookmarkStart w:id="24" w:name="ZOTERO_BREF_Y9VAQa4Uwu6G"/>
      <w:r w:rsidR="00900F7D" w:rsidRPr="00900F7D">
        <w:t>[38], [45]</w:t>
      </w:r>
      <w:bookmarkEnd w:id="24"/>
      <w:r>
        <w:t>. This framework facilitates the integration of physical and cyber elements into a unified, adaptive system. This study concentrates on precise instrument control</w:t>
      </w:r>
      <w:r w:rsidR="00900F7D">
        <w:t xml:space="preserve"> </w:t>
      </w:r>
      <w:bookmarkStart w:id="25" w:name="ZOTERO_BREF_YzPzAMtNZ7Sw"/>
      <w:r w:rsidR="00900F7D" w:rsidRPr="00900F7D">
        <w:t>[19]</w:t>
      </w:r>
      <w:bookmarkEnd w:id="25"/>
      <w:r w:rsidRPr="00900F7D">
        <w:t>,</w:t>
      </w:r>
      <w:r>
        <w:t xml:space="preserve"> a critical aspect of small-scale greenhouse farming. Targeted instruments include fertigation pumps (Figure 1.F), foliar pumps (Figure 1.E), blowers (Figure 1.D), and grow lights (Figure 1.B), as their optimal operation directly impacts greenhouse efficiency and sustainability.</w:t>
      </w:r>
    </w:p>
    <w:p w14:paraId="1BFD1052" w14:textId="77777777" w:rsidR="00F51085" w:rsidRDefault="007C4D6B">
      <w:pPr>
        <w:pStyle w:val="BodyText"/>
      </w:pPr>
      <w:r>
        <w:t xml:space="preserve">The first prototype agent, UDAWA Gadadar, is designed for universal instrument control and monitoring as shown in Figure 2. Following the 5C framework, UDAWA Gadadar's design incorporates the following features: </w:t>
      </w:r>
      <w:r>
        <w:rPr>
          <w:rStyle w:val="Emphasis"/>
        </w:rPr>
        <w:t>Connection</w:t>
      </w:r>
      <w:r>
        <w:t xml:space="preserve"> ensures reliable connectivity and appropriate sensors/actuators (e.g., electrical power sensors) for greenhouse instrument monitoring and control. </w:t>
      </w:r>
      <w:r>
        <w:rPr>
          <w:rStyle w:val="Emphasis"/>
        </w:rPr>
        <w:t>Conversion</w:t>
      </w:r>
      <w:r>
        <w:t xml:space="preserve"> equips the agent to transform data into actionable information for farmers, such as for prognostics</w:t>
      </w:r>
      <w:r w:rsidR="00900F7D">
        <w:t xml:space="preserve"> and predictive maintenance </w:t>
      </w:r>
      <w:bookmarkStart w:id="26" w:name="ZOTERO_BREF_pL1E2P9X2IF8"/>
      <w:r w:rsidR="00900F7D" w:rsidRPr="00900F7D">
        <w:t>[46]</w:t>
      </w:r>
      <w:bookmarkEnd w:id="26"/>
      <w:r>
        <w:t xml:space="preserve">, enabling proactive prevention of operational disruptions. </w:t>
      </w:r>
      <w:r>
        <w:rPr>
          <w:rStyle w:val="Emphasis"/>
        </w:rPr>
        <w:t>Cyber</w:t>
      </w:r>
      <w:r>
        <w:t xml:space="preserve"> ensures standardized M2M communication protocols for data exchange and analysis, fostering collaboration and data-driven decision-making. </w:t>
      </w:r>
    </w:p>
    <w:p w14:paraId="5667D761" w14:textId="77777777" w:rsidR="00F51085" w:rsidRDefault="007C4D6B">
      <w:pPr>
        <w:pStyle w:val="BodyText"/>
      </w:pPr>
      <w:r>
        <w:rPr>
          <w:rStyle w:val="Emphasis"/>
        </w:rPr>
        <w:t>Cognition</w:t>
      </w:r>
      <w:r>
        <w:t xml:space="preserve"> enables connection to the farm level (Tier 2) for integrated data analysis and decision support. Finally, </w:t>
      </w:r>
      <w:r>
        <w:rPr>
          <w:rStyle w:val="Emphasis"/>
        </w:rPr>
        <w:t>Configuration</w:t>
      </w:r>
      <w:r>
        <w:t xml:space="preserve"> leverages the insights from the </w:t>
      </w:r>
      <w:r>
        <w:rPr>
          <w:rStyle w:val="Emphasis"/>
        </w:rPr>
        <w:t>Cognition</w:t>
      </w:r>
      <w:r>
        <w:t xml:space="preserve"> aspect to enable autonomous agent operation for optimized efficiency and environmental control. This 5C-based architecture informs the application architecture for UDAWA Gadadar, encompassing both hardware and software designs, and serves as a blueprint for system development to achieve digitalization and optimization of small-scale greenhouse management.</w:t>
      </w:r>
    </w:p>
    <w:p w14:paraId="68BE89EA" w14:textId="77777777" w:rsidR="00F51085" w:rsidRDefault="007C4D6B">
      <w:pPr>
        <w:pStyle w:val="Caption"/>
        <w:spacing w:after="120"/>
        <w:rPr>
          <w:rStyle w:val="Emphasis"/>
          <w:color w:val="000000"/>
        </w:rPr>
      </w:pPr>
      <w:r>
        <w:rPr>
          <w:noProof/>
          <w:lang w:val="id-ID" w:eastAsia="id-ID"/>
        </w:rPr>
        <w:drawing>
          <wp:inline distT="0" distB="0" distL="0" distR="0" wp14:anchorId="22F6D871" wp14:editId="72DA217E">
            <wp:extent cx="2807970" cy="247269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5" cstate="print"/>
                    <a:stretch>
                      <a:fillRect/>
                    </a:stretch>
                  </pic:blipFill>
                  <pic:spPr bwMode="auto">
                    <a:xfrm>
                      <a:off x="0" y="0"/>
                      <a:ext cx="2807970" cy="2472690"/>
                    </a:xfrm>
                    <a:prstGeom prst="rect">
                      <a:avLst/>
                    </a:prstGeom>
                    <a:noFill/>
                  </pic:spPr>
                </pic:pic>
              </a:graphicData>
            </a:graphic>
          </wp:inline>
        </w:drawing>
      </w:r>
    </w:p>
    <w:p w14:paraId="70BDC280" w14:textId="426E4D72" w:rsidR="00F51085" w:rsidRDefault="007C4D6B">
      <w:pPr>
        <w:pStyle w:val="Caption"/>
        <w:spacing w:after="120"/>
        <w:rPr>
          <w:i/>
          <w:iCs/>
        </w:rPr>
      </w:pPr>
      <w:r>
        <w:rPr>
          <w:rStyle w:val="Emphasis"/>
          <w:i w:val="0"/>
          <w:iCs w:val="0"/>
          <w:color w:val="000000"/>
        </w:rPr>
        <w:t xml:space="preserve">Figure </w:t>
      </w:r>
      <w:r w:rsidR="00F51085">
        <w:rPr>
          <w:rStyle w:val="Emphasis"/>
          <w:i w:val="0"/>
          <w:iCs w:val="0"/>
          <w:color w:val="000000"/>
        </w:rPr>
        <w:fldChar w:fldCharType="begin"/>
      </w:r>
      <w:r>
        <w:rPr>
          <w:rStyle w:val="Emphasis"/>
          <w:i w:val="0"/>
          <w:iCs w:val="0"/>
          <w:color w:val="000000"/>
        </w:rPr>
        <w:instrText xml:space="preserve"> SEQ Gambar \* ARABIC </w:instrText>
      </w:r>
      <w:r w:rsidR="00F51085">
        <w:rPr>
          <w:rStyle w:val="Emphasis"/>
          <w:i w:val="0"/>
          <w:iCs w:val="0"/>
          <w:color w:val="000000"/>
        </w:rPr>
        <w:fldChar w:fldCharType="separate"/>
      </w:r>
      <w:r w:rsidR="00C8313A">
        <w:rPr>
          <w:rStyle w:val="Emphasis"/>
          <w:i w:val="0"/>
          <w:iCs w:val="0"/>
          <w:noProof/>
          <w:color w:val="000000"/>
        </w:rPr>
        <w:t>2</w:t>
      </w:r>
      <w:r w:rsidR="00F51085">
        <w:rPr>
          <w:rStyle w:val="Emphasis"/>
          <w:i w:val="0"/>
          <w:iCs w:val="0"/>
          <w:color w:val="000000"/>
        </w:rPr>
        <w:fldChar w:fldCharType="end"/>
      </w:r>
      <w:r>
        <w:rPr>
          <w:rStyle w:val="Emphasis"/>
          <w:i w:val="0"/>
          <w:iCs w:val="0"/>
          <w:color w:val="000000"/>
        </w:rPr>
        <w:t>. 5C architecture of the UDAWA Gadadar agent</w:t>
      </w:r>
    </w:p>
    <w:p w14:paraId="3ADBA94D" w14:textId="77777777" w:rsidR="00F51085" w:rsidRDefault="007C4D6B">
      <w:pPr>
        <w:pStyle w:val="Heading2"/>
        <w:spacing w:before="120" w:after="120"/>
        <w:rPr>
          <w:iCs/>
        </w:rPr>
      </w:pPr>
      <w:r>
        <w:rPr>
          <w:iCs/>
          <w:color w:val="000000"/>
          <w:szCs w:val="20"/>
        </w:rPr>
        <w:t>2.2 UDAWA Gadadar Agent Hardware Design</w:t>
      </w:r>
    </w:p>
    <w:p w14:paraId="17FAD21B" w14:textId="77777777" w:rsidR="00F51085" w:rsidRDefault="007C4D6B">
      <w:pPr>
        <w:pStyle w:val="BodyText"/>
        <w:rPr>
          <w:iCs/>
          <w:color w:val="000000"/>
        </w:rPr>
      </w:pPr>
      <w:r>
        <w:rPr>
          <w:iCs/>
          <w:color w:val="000000"/>
        </w:rPr>
        <w:t xml:space="preserve">The UDAWA Gadadar hardware employs a modular design using readily available electronic components with extensive </w:t>
      </w:r>
      <w:r w:rsidR="00900F7D">
        <w:rPr>
          <w:iCs/>
          <w:color w:val="000000"/>
        </w:rPr>
        <w:t xml:space="preserve">community support </w:t>
      </w:r>
      <w:bookmarkStart w:id="27" w:name="ZOTERO_BREF_qQBURMWwS9R7"/>
      <w:r w:rsidR="00900F7D" w:rsidRPr="00900F7D">
        <w:t>[47]</w:t>
      </w:r>
      <w:bookmarkEnd w:id="27"/>
      <w:r>
        <w:rPr>
          <w:iCs/>
          <w:color w:val="000000"/>
        </w:rPr>
        <w:t>, enabling farmers to customize and maintain the system cost-effectively. This approach promotes self-reliance in system management. As shown in Figure 3, the ESP32 microcontroller, chosen for its low power consumption, processing capabili</w:t>
      </w:r>
      <w:r w:rsidR="00900F7D">
        <w:rPr>
          <w:iCs/>
          <w:color w:val="000000"/>
        </w:rPr>
        <w:t xml:space="preserve">ties, and community support </w:t>
      </w:r>
      <w:bookmarkStart w:id="28" w:name="ZOTERO_BREF_rdqQfii7Lm2m"/>
      <w:r w:rsidR="00900F7D" w:rsidRPr="00900F7D">
        <w:t>[47]</w:t>
      </w:r>
      <w:bookmarkEnd w:id="28"/>
      <w:r>
        <w:rPr>
          <w:iCs/>
          <w:color w:val="000000"/>
        </w:rPr>
        <w:t xml:space="preserve">, serves as the central processing unit. Its energy efficiency is crucial for continuous operation, while its processing power supports real-time control and monitoring. A power sensor measures electrical parameters (current, voltage, power, power factor, frequency, and energy consumption) to provide real-time performance data for greenhouse instruments, facilitating prompt identification of malfunctions or inefficiencies. A four-channel relay module controls greenhouse loads (e.g., fertigation pumps, blowers, grow lights), allowing independent operation based on plant needs and environmental conditions. Finally, an integrated Miniature Circuit Breaker (MCB) provides essential safety against overloads and short circuits, protecting the hardware, connected instruments, and users. </w:t>
      </w:r>
    </w:p>
    <w:p w14:paraId="0C5B1534" w14:textId="77777777" w:rsidR="00F51085" w:rsidRDefault="007C4D6B">
      <w:pPr>
        <w:pStyle w:val="BodyText"/>
        <w:rPr>
          <w:iCs/>
          <w:color w:val="000000"/>
        </w:rPr>
      </w:pPr>
      <w:r>
        <w:rPr>
          <w:noProof/>
          <w:lang w:val="id-ID" w:eastAsia="id-ID"/>
        </w:rPr>
        <w:drawing>
          <wp:inline distT="0" distB="0" distL="0" distR="0" wp14:anchorId="3543D2B0" wp14:editId="05F683C8">
            <wp:extent cx="2807970" cy="252539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6" cstate="print"/>
                    <a:stretch>
                      <a:fillRect/>
                    </a:stretch>
                  </pic:blipFill>
                  <pic:spPr bwMode="auto">
                    <a:xfrm>
                      <a:off x="0" y="0"/>
                      <a:ext cx="2807970" cy="2525395"/>
                    </a:xfrm>
                    <a:prstGeom prst="rect">
                      <a:avLst/>
                    </a:prstGeom>
                    <a:noFill/>
                  </pic:spPr>
                </pic:pic>
              </a:graphicData>
            </a:graphic>
          </wp:inline>
        </w:drawing>
      </w:r>
    </w:p>
    <w:p w14:paraId="1D4912A2" w14:textId="32639C6A" w:rsidR="00F51085" w:rsidRDefault="007C4D6B">
      <w:pPr>
        <w:pStyle w:val="Caption"/>
        <w:spacing w:after="120"/>
      </w:pPr>
      <w:r>
        <w:rPr>
          <w:iCs/>
          <w:color w:val="000000"/>
          <w:szCs w:val="16"/>
        </w:rPr>
        <w:t xml:space="preserve">Figure </w:t>
      </w:r>
      <w:r w:rsidR="00F51085">
        <w:rPr>
          <w:iCs/>
          <w:color w:val="000000"/>
          <w:szCs w:val="16"/>
        </w:rPr>
        <w:fldChar w:fldCharType="begin"/>
      </w:r>
      <w:r>
        <w:rPr>
          <w:iCs/>
          <w:color w:val="000000"/>
          <w:szCs w:val="16"/>
        </w:rPr>
        <w:instrText xml:space="preserve"> SEQ Gambar \* ARABIC </w:instrText>
      </w:r>
      <w:r w:rsidR="00F51085">
        <w:rPr>
          <w:iCs/>
          <w:color w:val="000000"/>
          <w:szCs w:val="16"/>
        </w:rPr>
        <w:fldChar w:fldCharType="separate"/>
      </w:r>
      <w:r w:rsidR="00C8313A">
        <w:rPr>
          <w:iCs/>
          <w:noProof/>
          <w:color w:val="000000"/>
          <w:szCs w:val="16"/>
        </w:rPr>
        <w:t>3</w:t>
      </w:r>
      <w:r w:rsidR="00F51085">
        <w:rPr>
          <w:iCs/>
          <w:color w:val="000000"/>
          <w:szCs w:val="16"/>
        </w:rPr>
        <w:fldChar w:fldCharType="end"/>
      </w:r>
      <w:r>
        <w:rPr>
          <w:iCs/>
          <w:color w:val="000000"/>
          <w:szCs w:val="16"/>
        </w:rPr>
        <w:t xml:space="preserve">.The hardware block diagram of the UDAWA Gadadar </w:t>
      </w:r>
      <w:r>
        <w:rPr>
          <w:iCs/>
          <w:color w:val="000000"/>
          <w:szCs w:val="20"/>
        </w:rPr>
        <w:t>agent</w:t>
      </w:r>
    </w:p>
    <w:p w14:paraId="175C80CF" w14:textId="77777777" w:rsidR="00F51085" w:rsidRDefault="007C4D6B">
      <w:pPr>
        <w:pStyle w:val="Heading2"/>
        <w:spacing w:before="120" w:after="120"/>
        <w:rPr>
          <w:iCs/>
        </w:rPr>
      </w:pPr>
      <w:r>
        <w:rPr>
          <w:iCs/>
          <w:color w:val="000000"/>
          <w:szCs w:val="20"/>
        </w:rPr>
        <w:t>2.3 UDAWA Gadadar Agent Software Design</w:t>
      </w:r>
    </w:p>
    <w:p w14:paraId="52C64244" w14:textId="77777777" w:rsidR="00F51085" w:rsidRDefault="007C4D6B">
      <w:pPr>
        <w:pStyle w:val="BodyText"/>
      </w:pPr>
      <w:r>
        <w:t>The UDAWA Gadadar agent software, designed with a farmer-centric approach, prioritizes ease of use. Its architecture, as shown in Figure 4, comprises several key components: a core routine, storage I/O queue, HTTP/Websocket I/O queue, secure MQTT I/O queue, and agent-specific task routines.</w:t>
      </w:r>
    </w:p>
    <w:p w14:paraId="1AE905F8" w14:textId="77777777" w:rsidR="00F51085" w:rsidRDefault="007C4D6B">
      <w:pPr>
        <w:pStyle w:val="BodyText"/>
      </w:pPr>
      <w:r>
        <w:t>The core routine provides reusable codes for future UDAWA agent variants. The storage I/O queue manages data storage on both the embedded LittleFS media and an external SD card, storing firmware for the built-in web interface and sensor data. This interface enables real-time monitoring and control. The HTTP/WebSocket I/O queue serves HTTP and WebSocket communication, providing the web interface and a secure WebSocket API (using basic authentication and salted HMAC) for UI and inter-agent data exchange. The Secure MQTT I/O queue handles communication with farm-level (Tier 2) agents on an edge computing IoT platform, enabling data transmission and control instruction reception.</w:t>
      </w:r>
    </w:p>
    <w:p w14:paraId="7896B7B5" w14:textId="77777777" w:rsidR="00F51085" w:rsidRDefault="007C4D6B">
      <w:pPr>
        <w:pStyle w:val="BodyText"/>
      </w:pPr>
      <w:r>
        <w:t xml:space="preserve">The power sensor task routine includes a sampler, which collects and filters voltage, current, power, power factor, frequency, and total power usage (kWh) data before sending it to subscribers like the web UI or MQTT logger. A health watchdog detects sensor or greenhouse instrument errors (e.g., unread sensors, relays off with power flow) and notifies users via the UI or logger. </w:t>
      </w:r>
    </w:p>
    <w:p w14:paraId="491298EF" w14:textId="77777777" w:rsidR="00F51085" w:rsidRDefault="007C4D6B">
      <w:pPr>
        <w:pStyle w:val="BodyText"/>
      </w:pPr>
      <w:r>
        <w:t>The relay control task routine features a controller that manages four relay operating modes: manual, duty-cycle, time-based, and AI. Each channel operates independently. The health watchdog prevents relay overrun and monitors instrument damage by querying the power sensor task routine. Finally, the agent-specific RPC task routine facilitates communication and information exchange with other local network agents, enabling data requests and provision for an integrated system.</w:t>
      </w:r>
    </w:p>
    <w:p w14:paraId="6981DE2A" w14:textId="77777777" w:rsidR="00F51085" w:rsidRDefault="007C4D6B">
      <w:pPr>
        <w:pStyle w:val="BodyText"/>
      </w:pPr>
      <w:r>
        <w:rPr>
          <w:noProof/>
          <w:lang w:val="id-ID" w:eastAsia="id-ID"/>
        </w:rPr>
        <w:drawing>
          <wp:inline distT="0" distB="0" distL="0" distR="0" wp14:anchorId="5D2A3AF7" wp14:editId="3824EF1F">
            <wp:extent cx="2807970" cy="234569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7" cstate="print"/>
                    <a:stretch>
                      <a:fillRect/>
                    </a:stretch>
                  </pic:blipFill>
                  <pic:spPr bwMode="auto">
                    <a:xfrm>
                      <a:off x="0" y="0"/>
                      <a:ext cx="2807970" cy="2345690"/>
                    </a:xfrm>
                    <a:prstGeom prst="rect">
                      <a:avLst/>
                    </a:prstGeom>
                    <a:noFill/>
                  </pic:spPr>
                </pic:pic>
              </a:graphicData>
            </a:graphic>
          </wp:inline>
        </w:drawing>
      </w:r>
    </w:p>
    <w:p w14:paraId="3634ED31" w14:textId="2322F1B5"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4</w:t>
      </w:r>
      <w:r w:rsidR="00F51085">
        <w:rPr>
          <w:iCs/>
          <w:color w:val="000000"/>
          <w:szCs w:val="20"/>
        </w:rPr>
        <w:fldChar w:fldCharType="end"/>
      </w:r>
      <w:r>
        <w:rPr>
          <w:iCs/>
          <w:color w:val="000000"/>
          <w:szCs w:val="20"/>
        </w:rPr>
        <w:t>.The software block diagram of the UDAWA Gadadar agent</w:t>
      </w:r>
    </w:p>
    <w:p w14:paraId="277C34EA" w14:textId="77777777" w:rsidR="00F51085" w:rsidRDefault="007C4D6B">
      <w:pPr>
        <w:pStyle w:val="Heading2"/>
        <w:spacing w:before="120" w:after="120"/>
        <w:rPr>
          <w:iCs/>
        </w:rPr>
      </w:pPr>
      <w:r>
        <w:rPr>
          <w:iCs/>
          <w:color w:val="000000"/>
          <w:szCs w:val="20"/>
        </w:rPr>
        <w:t>2.4 System Validation and Testing</w:t>
      </w:r>
    </w:p>
    <w:p w14:paraId="6306ACC1" w14:textId="77777777" w:rsidR="00F51085" w:rsidRDefault="007C4D6B">
      <w:pPr>
        <w:pStyle w:val="BodyText"/>
      </w:pPr>
      <w:r>
        <w:t>System validation and testing were conducted comprehensively to ensure the relevance and performance of the designed system. This process involved three main stages designed to evaluate various aspects of the system, ranging from functionality to compatibility with small-scale greenhouse models.</w:t>
      </w:r>
    </w:p>
    <w:p w14:paraId="121E475A" w14:textId="77777777" w:rsidR="00F51085" w:rsidRDefault="007C4D6B">
      <w:pPr>
        <w:pStyle w:val="BodyText"/>
      </w:pPr>
      <w:r>
        <w:t>The first stage focused on testing the features implemented in the UDAWA Gadadar agent. An agent prototype was built to facilitate this testing process. This prototype was then used to identify features that had been successfully realized based on the designed system. The results of this feature testing are presented in the form of a table of implemented technical features in the results and discussion section to provide a visual overview of the capabilities and functions of the UDAWA Gadadar agent.</w:t>
      </w:r>
    </w:p>
    <w:p w14:paraId="2EA3F601" w14:textId="77777777" w:rsidR="00F51085" w:rsidRDefault="007C4D6B">
      <w:pPr>
        <w:pStyle w:val="BodyText"/>
      </w:pPr>
      <w:r>
        <w:t>The second stage involved performance and cost analysis of the UDAWA Gadadar agent prototype. Performance analysis was conducted by evaluating several key parameters, including memory leak testing and the availability of memory resources for artificial intelligence (AI) and machine learning (ML)-based development at the edge. This testing was conducted to ensure that the UDAWA Gadadar agent has sufficient resources to accommodate future AI and ML features, which can enhance the system's ability to adapt to environmental conditions and plant needs. In addition, prototype procurement cost calculations and estimated maintenance costs were also performed. This information is important to provide small-scale farmers with an overview of the feasibility of adopting this technology, ensuring that the system is cost-effective and accessible to farmers with limited resources.</w:t>
      </w:r>
    </w:p>
    <w:p w14:paraId="63214194" w14:textId="356FFAA4" w:rsidR="00F51085" w:rsidRDefault="007C4D6B">
      <w:pPr>
        <w:pStyle w:val="BodyText"/>
        <w:rPr>
          <w:iCs/>
          <w:color w:val="000000"/>
        </w:rPr>
      </w:pPr>
      <w:r>
        <w:rPr>
          <w:iCs/>
          <w:color w:val="000000"/>
        </w:rPr>
        <w:t>The third stage was designed to evaluate the relevance of the UDAWA Gadadar system for various small-scale greenhouse models. A decision matrix approach was chosen due to its ability to facilitate a structured and objective comparison of several greenhouse models based on predetermined criteria</w:t>
      </w:r>
      <w:r w:rsidR="00900F7D">
        <w:rPr>
          <w:iCs/>
          <w:color w:val="000000"/>
        </w:rPr>
        <w:t xml:space="preserve"> </w:t>
      </w:r>
      <w:bookmarkStart w:id="29" w:name="ZOTERO_BREF_ugHfhG6ZrL1R"/>
      <w:r w:rsidR="00900F7D" w:rsidRPr="00900F7D">
        <w:t>[48]</w:t>
      </w:r>
      <w:bookmarkEnd w:id="29"/>
      <w:r w:rsidRPr="00900F7D">
        <w:rPr>
          <w:iCs/>
          <w:color w:val="000000"/>
        </w:rPr>
        <w:t>.</w:t>
      </w:r>
      <w:r>
        <w:rPr>
          <w:iCs/>
          <w:color w:val="000000"/>
        </w:rPr>
        <w:t xml:space="preserve"> This decision matrix consists of rows representing greenhouse models and columns representing evaluation criteria. The evaluated greenhouse models are shown in Table 1. This table presents five greenhouse models mapped based on field observation results in Pancasari Village, Buleleng Regency, Bali. Each model has attributes that provide detailed information about how their business is run, the types of commodities grown, connectivity availability, and the types of instruments used in the greenhouse.</w:t>
      </w:r>
    </w:p>
    <w:p w14:paraId="558FDE57" w14:textId="77777777" w:rsidR="007148AE" w:rsidRDefault="007148AE" w:rsidP="007148AE">
      <w:pPr>
        <w:pStyle w:val="Caption"/>
        <w:spacing w:before="120" w:after="120"/>
        <w:rPr>
          <w:color w:val="000000"/>
        </w:rPr>
        <w:sectPr w:rsidR="007148AE">
          <w:type w:val="continuous"/>
          <w:pgSz w:w="11906" w:h="16838"/>
          <w:pgMar w:top="1418" w:right="1418" w:bottom="1418" w:left="1418" w:header="709" w:footer="709" w:gutter="0"/>
          <w:cols w:num="2" w:space="226"/>
          <w:formProt w:val="0"/>
          <w:titlePg/>
          <w:docGrid w:linePitch="360" w:charSpace="32768"/>
        </w:sectPr>
      </w:pPr>
    </w:p>
    <w:p w14:paraId="3CF4DE92" w14:textId="79593F63" w:rsidR="007148AE" w:rsidRDefault="007148AE" w:rsidP="007148AE">
      <w:pPr>
        <w:pStyle w:val="Caption"/>
        <w:spacing w:before="120" w:after="120"/>
      </w:pPr>
      <w:r>
        <w:rPr>
          <w:color w:val="000000"/>
        </w:rPr>
        <w:t>Table</w:t>
      </w:r>
      <w:r>
        <w:t xml:space="preserve"> </w:t>
      </w:r>
      <w:r>
        <w:fldChar w:fldCharType="begin"/>
      </w:r>
      <w:r>
        <w:instrText xml:space="preserve"> SEQ Tabel_ \* ARABIC </w:instrText>
      </w:r>
      <w:r>
        <w:fldChar w:fldCharType="separate"/>
      </w:r>
      <w:r w:rsidR="00C8313A">
        <w:rPr>
          <w:noProof/>
        </w:rPr>
        <w:t>1</w:t>
      </w:r>
      <w:r>
        <w:fldChar w:fldCharType="end"/>
      </w:r>
      <w:r>
        <w:t>. S</w:t>
      </w:r>
      <w:r>
        <w:rPr>
          <w:color w:val="000000"/>
        </w:rPr>
        <w:t>mall-scale greenhouse models in Pancasari Village, Buleleng Regency, Bali</w:t>
      </w:r>
    </w:p>
    <w:tbl>
      <w:tblPr>
        <w:tblW w:w="8876" w:type="dxa"/>
        <w:jc w:val="center"/>
        <w:tblLayout w:type="fixed"/>
        <w:tblLook w:val="0000" w:firstRow="0" w:lastRow="0" w:firstColumn="0" w:lastColumn="0" w:noHBand="0" w:noVBand="0"/>
      </w:tblPr>
      <w:tblGrid>
        <w:gridCol w:w="653"/>
        <w:gridCol w:w="1570"/>
        <w:gridCol w:w="963"/>
        <w:gridCol w:w="1719"/>
        <w:gridCol w:w="1080"/>
        <w:gridCol w:w="600"/>
        <w:gridCol w:w="567"/>
        <w:gridCol w:w="850"/>
        <w:gridCol w:w="874"/>
      </w:tblGrid>
      <w:tr w:rsidR="007148AE" w14:paraId="60ED5494" w14:textId="77777777" w:rsidTr="007148AE">
        <w:trPr>
          <w:jc w:val="center"/>
        </w:trPr>
        <w:tc>
          <w:tcPr>
            <w:tcW w:w="653" w:type="dxa"/>
            <w:tcBorders>
              <w:top w:val="single" w:sz="12" w:space="0" w:color="000000"/>
              <w:bottom w:val="single" w:sz="4" w:space="0" w:color="000000"/>
            </w:tcBorders>
          </w:tcPr>
          <w:p w14:paraId="190B5AE3" w14:textId="77777777" w:rsidR="007148AE" w:rsidRDefault="007148AE" w:rsidP="00C44E93">
            <w:pPr>
              <w:pStyle w:val="TableCategories"/>
              <w:snapToGrid w:val="0"/>
              <w:rPr>
                <w:rFonts w:ascii="Times New Roman" w:hAnsi="Times New Roman"/>
              </w:rPr>
            </w:pPr>
            <w:r>
              <w:rPr>
                <w:rFonts w:ascii="Times New Roman" w:hAnsi="Times New Roman"/>
                <w:color w:val="000000"/>
                <w:szCs w:val="16"/>
                <w:lang w:val="en-US"/>
              </w:rPr>
              <w:t>GH Model</w:t>
            </w:r>
          </w:p>
        </w:tc>
        <w:tc>
          <w:tcPr>
            <w:tcW w:w="1570" w:type="dxa"/>
            <w:tcBorders>
              <w:top w:val="single" w:sz="12" w:space="0" w:color="000000"/>
              <w:bottom w:val="single" w:sz="4" w:space="0" w:color="000000"/>
            </w:tcBorders>
          </w:tcPr>
          <w:p w14:paraId="63AA73C1"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Business Model</w:t>
            </w:r>
          </w:p>
        </w:tc>
        <w:tc>
          <w:tcPr>
            <w:tcW w:w="963" w:type="dxa"/>
            <w:tcBorders>
              <w:top w:val="single" w:sz="12" w:space="0" w:color="000000"/>
              <w:bottom w:val="single" w:sz="4" w:space="0" w:color="000000"/>
            </w:tcBorders>
          </w:tcPr>
          <w:p w14:paraId="1D27A349" w14:textId="77777777" w:rsidR="007148AE" w:rsidRDefault="007148AE" w:rsidP="00C44E93">
            <w:pPr>
              <w:pStyle w:val="TableCategories"/>
              <w:snapToGrid w:val="0"/>
              <w:ind w:right="-154"/>
              <w:rPr>
                <w:rFonts w:ascii="Times New Roman" w:hAnsi="Times New Roman"/>
                <w:color w:val="000000"/>
                <w:szCs w:val="16"/>
                <w:lang w:val="en-US"/>
              </w:rPr>
            </w:pPr>
            <w:r>
              <w:rPr>
                <w:rFonts w:ascii="Times New Roman" w:hAnsi="Times New Roman"/>
                <w:color w:val="000000"/>
                <w:szCs w:val="16"/>
                <w:lang w:val="en-US"/>
              </w:rPr>
              <w:t>Commodity</w:t>
            </w:r>
          </w:p>
        </w:tc>
        <w:tc>
          <w:tcPr>
            <w:tcW w:w="1719" w:type="dxa"/>
            <w:tcBorders>
              <w:top w:val="single" w:sz="12" w:space="0" w:color="000000"/>
              <w:bottom w:val="single" w:sz="4" w:space="0" w:color="000000"/>
            </w:tcBorders>
          </w:tcPr>
          <w:p w14:paraId="14AFD7C7"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Farming Method</w:t>
            </w:r>
          </w:p>
        </w:tc>
        <w:tc>
          <w:tcPr>
            <w:tcW w:w="1080" w:type="dxa"/>
            <w:tcBorders>
              <w:top w:val="single" w:sz="12" w:space="0" w:color="000000"/>
              <w:bottom w:val="single" w:sz="4" w:space="0" w:color="000000"/>
            </w:tcBorders>
          </w:tcPr>
          <w:p w14:paraId="38F59FDF"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Wireless Connectivity</w:t>
            </w:r>
          </w:p>
        </w:tc>
        <w:tc>
          <w:tcPr>
            <w:tcW w:w="600" w:type="dxa"/>
            <w:tcBorders>
              <w:top w:val="single" w:sz="12" w:space="0" w:color="000000"/>
              <w:bottom w:val="single" w:sz="4" w:space="0" w:color="000000"/>
            </w:tcBorders>
          </w:tcPr>
          <w:p w14:paraId="4202F8CA"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Pump</w:t>
            </w:r>
          </w:p>
        </w:tc>
        <w:tc>
          <w:tcPr>
            <w:tcW w:w="567" w:type="dxa"/>
            <w:tcBorders>
              <w:top w:val="single" w:sz="12" w:space="0" w:color="000000"/>
              <w:bottom w:val="single" w:sz="4" w:space="0" w:color="000000"/>
            </w:tcBorders>
          </w:tcPr>
          <w:p w14:paraId="070F41DE"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Fan</w:t>
            </w:r>
          </w:p>
        </w:tc>
        <w:tc>
          <w:tcPr>
            <w:tcW w:w="850" w:type="dxa"/>
            <w:tcBorders>
              <w:top w:val="single" w:sz="12" w:space="0" w:color="000000"/>
              <w:bottom w:val="single" w:sz="4" w:space="0" w:color="000000"/>
            </w:tcBorders>
          </w:tcPr>
          <w:p w14:paraId="6F5E8503"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Lighting</w:t>
            </w:r>
          </w:p>
        </w:tc>
        <w:tc>
          <w:tcPr>
            <w:tcW w:w="874" w:type="dxa"/>
            <w:tcBorders>
              <w:top w:val="single" w:sz="12" w:space="0" w:color="000000"/>
              <w:bottom w:val="single" w:sz="4" w:space="0" w:color="000000"/>
            </w:tcBorders>
          </w:tcPr>
          <w:p w14:paraId="1821BA1B" w14:textId="77777777" w:rsidR="007148AE" w:rsidRDefault="007148AE" w:rsidP="00C44E93">
            <w:pPr>
              <w:pStyle w:val="TableCategories"/>
              <w:snapToGrid w:val="0"/>
              <w:rPr>
                <w:rFonts w:ascii="Times New Roman" w:hAnsi="Times New Roman"/>
                <w:color w:val="000000"/>
                <w:szCs w:val="16"/>
                <w:lang w:val="en-US"/>
              </w:rPr>
            </w:pPr>
            <w:r>
              <w:rPr>
                <w:rFonts w:ascii="Times New Roman" w:hAnsi="Times New Roman"/>
                <w:color w:val="000000"/>
                <w:szCs w:val="16"/>
                <w:lang w:val="en-US"/>
              </w:rPr>
              <w:t>Solenoid</w:t>
            </w:r>
          </w:p>
        </w:tc>
      </w:tr>
      <w:tr w:rsidR="007148AE" w14:paraId="114D390D" w14:textId="77777777" w:rsidTr="007148AE">
        <w:trPr>
          <w:trHeight w:val="233"/>
          <w:jc w:val="center"/>
        </w:trPr>
        <w:tc>
          <w:tcPr>
            <w:tcW w:w="653" w:type="dxa"/>
            <w:tcBorders>
              <w:top w:val="single" w:sz="4" w:space="0" w:color="000000"/>
            </w:tcBorders>
          </w:tcPr>
          <w:p w14:paraId="0BD2A981" w14:textId="77777777" w:rsidR="007148AE" w:rsidRDefault="007148AE" w:rsidP="00C44E93">
            <w:pPr>
              <w:pStyle w:val="TableCaption"/>
              <w:snapToGrid w:val="0"/>
              <w:jc w:val="left"/>
              <w:rPr>
                <w:rFonts w:ascii="Times New Roman" w:hAnsi="Times New Roman"/>
              </w:rPr>
            </w:pPr>
            <w:r>
              <w:rPr>
                <w:rFonts w:ascii="Times New Roman" w:hAnsi="Times New Roman"/>
                <w:color w:val="000000"/>
                <w:szCs w:val="16"/>
                <w:lang w:val="en-US"/>
              </w:rPr>
              <w:t>GH1</w:t>
            </w:r>
          </w:p>
        </w:tc>
        <w:tc>
          <w:tcPr>
            <w:tcW w:w="1570" w:type="dxa"/>
            <w:tcBorders>
              <w:top w:val="single" w:sz="4" w:space="0" w:color="000000"/>
            </w:tcBorders>
          </w:tcPr>
          <w:p w14:paraId="2BBD7762" w14:textId="77777777" w:rsidR="007148AE" w:rsidRDefault="007148AE" w:rsidP="00C44E93">
            <w:pPr>
              <w:pStyle w:val="TableCaption"/>
              <w:snapToGrid w:val="0"/>
              <w:jc w:val="left"/>
              <w:rPr>
                <w:rFonts w:ascii="Times New Roman" w:hAnsi="Times New Roman"/>
              </w:rPr>
            </w:pPr>
            <w:r>
              <w:rPr>
                <w:rFonts w:ascii="Times New Roman" w:hAnsi="Times New Roman"/>
              </w:rPr>
              <w:t>Market gardener</w:t>
            </w:r>
          </w:p>
        </w:tc>
        <w:tc>
          <w:tcPr>
            <w:tcW w:w="963" w:type="dxa"/>
            <w:tcBorders>
              <w:top w:val="single" w:sz="4" w:space="0" w:color="000000"/>
            </w:tcBorders>
          </w:tcPr>
          <w:p w14:paraId="1E99A2F3" w14:textId="77777777" w:rsidR="007148AE" w:rsidRDefault="007148AE" w:rsidP="00C44E93">
            <w:pPr>
              <w:pStyle w:val="TableCaption"/>
              <w:snapToGrid w:val="0"/>
              <w:jc w:val="left"/>
              <w:rPr>
                <w:rFonts w:ascii="Times New Roman" w:hAnsi="Times New Roman"/>
              </w:rPr>
            </w:pPr>
            <w:r>
              <w:rPr>
                <w:rFonts w:ascii="Times New Roman" w:hAnsi="Times New Roman"/>
              </w:rPr>
              <w:t>Lettuce</w:t>
            </w:r>
          </w:p>
        </w:tc>
        <w:tc>
          <w:tcPr>
            <w:tcW w:w="1719" w:type="dxa"/>
            <w:tcBorders>
              <w:top w:val="single" w:sz="4" w:space="0" w:color="000000"/>
            </w:tcBorders>
          </w:tcPr>
          <w:p w14:paraId="070D0E89" w14:textId="77777777" w:rsidR="007148AE" w:rsidRDefault="007148AE" w:rsidP="00C44E93">
            <w:pPr>
              <w:pStyle w:val="TableCaption"/>
              <w:snapToGrid w:val="0"/>
              <w:jc w:val="left"/>
              <w:rPr>
                <w:rFonts w:ascii="Times New Roman" w:hAnsi="Times New Roman"/>
              </w:rPr>
            </w:pPr>
            <w:r>
              <w:rPr>
                <w:rFonts w:ascii="Times New Roman" w:hAnsi="Times New Roman"/>
              </w:rPr>
              <w:t>NFT Hydroponic</w:t>
            </w:r>
          </w:p>
        </w:tc>
        <w:tc>
          <w:tcPr>
            <w:tcW w:w="1080" w:type="dxa"/>
            <w:tcBorders>
              <w:top w:val="single" w:sz="4" w:space="0" w:color="000000"/>
            </w:tcBorders>
          </w:tcPr>
          <w:p w14:paraId="1AF35179" w14:textId="77777777" w:rsidR="007148AE" w:rsidRDefault="007148AE" w:rsidP="00C44E93">
            <w:pPr>
              <w:pStyle w:val="TableCaption"/>
              <w:snapToGrid w:val="0"/>
              <w:jc w:val="left"/>
              <w:rPr>
                <w:rFonts w:ascii="Times New Roman" w:hAnsi="Times New Roman"/>
              </w:rPr>
            </w:pPr>
            <w:r>
              <w:rPr>
                <w:rFonts w:ascii="Times New Roman" w:hAnsi="Times New Roman"/>
              </w:rPr>
              <w:t>WiFi</w:t>
            </w:r>
          </w:p>
        </w:tc>
        <w:tc>
          <w:tcPr>
            <w:tcW w:w="600" w:type="dxa"/>
            <w:tcBorders>
              <w:top w:val="single" w:sz="4" w:space="0" w:color="000000"/>
            </w:tcBorders>
          </w:tcPr>
          <w:p w14:paraId="03894F2D" w14:textId="77777777" w:rsidR="007148AE" w:rsidRDefault="007148AE" w:rsidP="00C44E93">
            <w:pPr>
              <w:pStyle w:val="TableCaption"/>
              <w:snapToGrid w:val="0"/>
              <w:jc w:val="left"/>
              <w:rPr>
                <w:rFonts w:ascii="Times New Roman" w:hAnsi="Times New Roman"/>
              </w:rPr>
            </w:pPr>
            <w:r>
              <w:rPr>
                <w:rFonts w:ascii="Times New Roman" w:hAnsi="Times New Roman"/>
              </w:rPr>
              <w:t>3</w:t>
            </w:r>
          </w:p>
        </w:tc>
        <w:tc>
          <w:tcPr>
            <w:tcW w:w="567" w:type="dxa"/>
            <w:tcBorders>
              <w:top w:val="single" w:sz="4" w:space="0" w:color="000000"/>
            </w:tcBorders>
          </w:tcPr>
          <w:p w14:paraId="45AF1803" w14:textId="77777777" w:rsidR="007148AE" w:rsidRDefault="007148AE" w:rsidP="00C44E93">
            <w:pPr>
              <w:pStyle w:val="TableCaption"/>
              <w:snapToGrid w:val="0"/>
              <w:jc w:val="left"/>
              <w:rPr>
                <w:rFonts w:ascii="Times New Roman" w:hAnsi="Times New Roman"/>
              </w:rPr>
            </w:pPr>
            <w:r>
              <w:rPr>
                <w:rFonts w:ascii="Times New Roman" w:hAnsi="Times New Roman"/>
              </w:rPr>
              <w:t>2</w:t>
            </w:r>
          </w:p>
        </w:tc>
        <w:tc>
          <w:tcPr>
            <w:tcW w:w="850" w:type="dxa"/>
            <w:tcBorders>
              <w:top w:val="single" w:sz="4" w:space="0" w:color="000000"/>
            </w:tcBorders>
          </w:tcPr>
          <w:p w14:paraId="6938FA70" w14:textId="77777777" w:rsidR="007148AE" w:rsidRDefault="007148AE" w:rsidP="00C44E93">
            <w:pPr>
              <w:pStyle w:val="TableCaption"/>
              <w:snapToGrid w:val="0"/>
              <w:jc w:val="left"/>
              <w:rPr>
                <w:rFonts w:ascii="Times New Roman" w:hAnsi="Times New Roman"/>
              </w:rPr>
            </w:pPr>
            <w:r>
              <w:rPr>
                <w:rFonts w:ascii="Times New Roman" w:hAnsi="Times New Roman"/>
              </w:rPr>
              <w:t>0</w:t>
            </w:r>
          </w:p>
        </w:tc>
        <w:tc>
          <w:tcPr>
            <w:tcW w:w="874" w:type="dxa"/>
            <w:tcBorders>
              <w:top w:val="single" w:sz="4" w:space="0" w:color="000000"/>
            </w:tcBorders>
          </w:tcPr>
          <w:p w14:paraId="49EC823D" w14:textId="77777777" w:rsidR="007148AE" w:rsidRDefault="007148AE" w:rsidP="00C44E93">
            <w:pPr>
              <w:pStyle w:val="TableCaption"/>
              <w:snapToGrid w:val="0"/>
              <w:jc w:val="left"/>
              <w:rPr>
                <w:rFonts w:ascii="Times New Roman" w:hAnsi="Times New Roman"/>
              </w:rPr>
            </w:pPr>
            <w:r>
              <w:rPr>
                <w:rFonts w:ascii="Times New Roman" w:hAnsi="Times New Roman"/>
              </w:rPr>
              <w:t>1</w:t>
            </w:r>
          </w:p>
        </w:tc>
      </w:tr>
      <w:tr w:rsidR="007148AE" w14:paraId="02D2F4B5" w14:textId="77777777" w:rsidTr="007148AE">
        <w:trPr>
          <w:jc w:val="center"/>
        </w:trPr>
        <w:tc>
          <w:tcPr>
            <w:tcW w:w="653" w:type="dxa"/>
          </w:tcPr>
          <w:p w14:paraId="5A9267DC" w14:textId="77777777" w:rsidR="007148AE" w:rsidRDefault="007148AE" w:rsidP="00C44E93">
            <w:pPr>
              <w:pStyle w:val="TableCaption"/>
              <w:snapToGrid w:val="0"/>
              <w:jc w:val="left"/>
              <w:rPr>
                <w:rFonts w:ascii="Times New Roman" w:hAnsi="Times New Roman"/>
              </w:rPr>
            </w:pPr>
            <w:r>
              <w:rPr>
                <w:rFonts w:ascii="Times New Roman" w:hAnsi="Times New Roman"/>
                <w:color w:val="000000"/>
                <w:szCs w:val="16"/>
                <w:lang w:val="en-US"/>
              </w:rPr>
              <w:t>GH2</w:t>
            </w:r>
          </w:p>
        </w:tc>
        <w:tc>
          <w:tcPr>
            <w:tcW w:w="1570" w:type="dxa"/>
          </w:tcPr>
          <w:p w14:paraId="3DA74F58" w14:textId="77777777" w:rsidR="007148AE" w:rsidRDefault="007148AE" w:rsidP="00C44E93">
            <w:pPr>
              <w:pStyle w:val="TableCaption"/>
              <w:snapToGrid w:val="0"/>
              <w:jc w:val="left"/>
              <w:rPr>
                <w:rFonts w:ascii="Times New Roman" w:hAnsi="Times New Roman"/>
              </w:rPr>
            </w:pPr>
            <w:r>
              <w:rPr>
                <w:rFonts w:ascii="Times New Roman" w:hAnsi="Times New Roman"/>
              </w:rPr>
              <w:t>Agri-tourism farmer</w:t>
            </w:r>
          </w:p>
        </w:tc>
        <w:tc>
          <w:tcPr>
            <w:tcW w:w="963" w:type="dxa"/>
          </w:tcPr>
          <w:p w14:paraId="569BB670" w14:textId="77777777" w:rsidR="007148AE" w:rsidRDefault="007148AE" w:rsidP="00C44E93">
            <w:pPr>
              <w:pStyle w:val="TableCaption"/>
              <w:snapToGrid w:val="0"/>
              <w:jc w:val="left"/>
              <w:rPr>
                <w:rFonts w:ascii="Times New Roman" w:hAnsi="Times New Roman"/>
              </w:rPr>
            </w:pPr>
            <w:r>
              <w:rPr>
                <w:rFonts w:ascii="Times New Roman" w:hAnsi="Times New Roman"/>
              </w:rPr>
              <w:t>Flower</w:t>
            </w:r>
          </w:p>
        </w:tc>
        <w:tc>
          <w:tcPr>
            <w:tcW w:w="1719" w:type="dxa"/>
          </w:tcPr>
          <w:p w14:paraId="2EB2CDDD" w14:textId="77777777" w:rsidR="007148AE" w:rsidRDefault="007148AE" w:rsidP="00C44E93">
            <w:pPr>
              <w:pStyle w:val="TableCaption"/>
              <w:snapToGrid w:val="0"/>
              <w:jc w:val="left"/>
              <w:rPr>
                <w:rFonts w:ascii="Times New Roman" w:hAnsi="Times New Roman"/>
              </w:rPr>
            </w:pPr>
            <w:r>
              <w:rPr>
                <w:rFonts w:ascii="Times New Roman" w:hAnsi="Times New Roman"/>
              </w:rPr>
              <w:t>Drip Fertigation</w:t>
            </w:r>
          </w:p>
        </w:tc>
        <w:tc>
          <w:tcPr>
            <w:tcW w:w="1080" w:type="dxa"/>
          </w:tcPr>
          <w:p w14:paraId="1C9075B3" w14:textId="77777777" w:rsidR="007148AE" w:rsidRDefault="007148AE" w:rsidP="00C44E93">
            <w:pPr>
              <w:pStyle w:val="TableCaption"/>
              <w:snapToGrid w:val="0"/>
              <w:jc w:val="left"/>
              <w:rPr>
                <w:rFonts w:ascii="Times New Roman" w:hAnsi="Times New Roman"/>
              </w:rPr>
            </w:pPr>
            <w:r>
              <w:rPr>
                <w:rFonts w:ascii="Times New Roman" w:hAnsi="Times New Roman"/>
              </w:rPr>
              <w:t>None</w:t>
            </w:r>
          </w:p>
        </w:tc>
        <w:tc>
          <w:tcPr>
            <w:tcW w:w="600" w:type="dxa"/>
          </w:tcPr>
          <w:p w14:paraId="6D000268" w14:textId="77777777" w:rsidR="007148AE" w:rsidRDefault="007148AE" w:rsidP="00C44E93">
            <w:pPr>
              <w:pStyle w:val="TableCaption"/>
              <w:snapToGrid w:val="0"/>
              <w:jc w:val="left"/>
              <w:rPr>
                <w:rFonts w:ascii="Times New Roman" w:hAnsi="Times New Roman"/>
              </w:rPr>
            </w:pPr>
            <w:r>
              <w:rPr>
                <w:rFonts w:ascii="Times New Roman" w:hAnsi="Times New Roman"/>
              </w:rPr>
              <w:t>1</w:t>
            </w:r>
          </w:p>
        </w:tc>
        <w:tc>
          <w:tcPr>
            <w:tcW w:w="567" w:type="dxa"/>
          </w:tcPr>
          <w:p w14:paraId="34693A55" w14:textId="77777777" w:rsidR="007148AE" w:rsidRDefault="007148AE" w:rsidP="00C44E93">
            <w:pPr>
              <w:pStyle w:val="TableCaption"/>
              <w:snapToGrid w:val="0"/>
              <w:jc w:val="left"/>
              <w:rPr>
                <w:rFonts w:ascii="Times New Roman" w:hAnsi="Times New Roman"/>
              </w:rPr>
            </w:pPr>
            <w:r>
              <w:rPr>
                <w:rFonts w:ascii="Times New Roman" w:hAnsi="Times New Roman"/>
              </w:rPr>
              <w:t>1</w:t>
            </w:r>
          </w:p>
        </w:tc>
        <w:tc>
          <w:tcPr>
            <w:tcW w:w="850" w:type="dxa"/>
          </w:tcPr>
          <w:p w14:paraId="43EF8DBE" w14:textId="77777777" w:rsidR="007148AE" w:rsidRDefault="007148AE" w:rsidP="00C44E93">
            <w:pPr>
              <w:pStyle w:val="TableCaption"/>
              <w:snapToGrid w:val="0"/>
              <w:jc w:val="left"/>
              <w:rPr>
                <w:rFonts w:ascii="Times New Roman" w:hAnsi="Times New Roman"/>
              </w:rPr>
            </w:pPr>
            <w:r>
              <w:rPr>
                <w:rFonts w:ascii="Times New Roman" w:hAnsi="Times New Roman"/>
              </w:rPr>
              <w:t>0</w:t>
            </w:r>
          </w:p>
        </w:tc>
        <w:tc>
          <w:tcPr>
            <w:tcW w:w="874" w:type="dxa"/>
          </w:tcPr>
          <w:p w14:paraId="581D9B12" w14:textId="77777777" w:rsidR="007148AE" w:rsidRDefault="007148AE" w:rsidP="00C44E93">
            <w:pPr>
              <w:pStyle w:val="TableCaption"/>
              <w:snapToGrid w:val="0"/>
              <w:jc w:val="left"/>
              <w:rPr>
                <w:rFonts w:ascii="Times New Roman" w:hAnsi="Times New Roman"/>
              </w:rPr>
            </w:pPr>
            <w:r>
              <w:rPr>
                <w:rFonts w:ascii="Times New Roman" w:hAnsi="Times New Roman"/>
              </w:rPr>
              <w:t>1</w:t>
            </w:r>
          </w:p>
        </w:tc>
      </w:tr>
      <w:tr w:rsidR="007148AE" w14:paraId="77D585D9" w14:textId="77777777" w:rsidTr="007148AE">
        <w:trPr>
          <w:jc w:val="center"/>
        </w:trPr>
        <w:tc>
          <w:tcPr>
            <w:tcW w:w="653" w:type="dxa"/>
          </w:tcPr>
          <w:p w14:paraId="72027E32"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GH3</w:t>
            </w:r>
          </w:p>
        </w:tc>
        <w:tc>
          <w:tcPr>
            <w:tcW w:w="1570" w:type="dxa"/>
          </w:tcPr>
          <w:p w14:paraId="64B03814" w14:textId="77777777" w:rsidR="007148AE" w:rsidRDefault="007148AE" w:rsidP="00C44E93">
            <w:pPr>
              <w:pStyle w:val="TableCaption"/>
              <w:snapToGrid w:val="0"/>
              <w:jc w:val="left"/>
              <w:rPr>
                <w:rFonts w:ascii="Times New Roman" w:hAnsi="Times New Roman"/>
              </w:rPr>
            </w:pPr>
            <w:r>
              <w:rPr>
                <w:rFonts w:ascii="Times New Roman" w:hAnsi="Times New Roman"/>
              </w:rPr>
              <w:t>Market gardener</w:t>
            </w:r>
          </w:p>
        </w:tc>
        <w:tc>
          <w:tcPr>
            <w:tcW w:w="963" w:type="dxa"/>
          </w:tcPr>
          <w:p w14:paraId="57644808"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Bell pepper</w:t>
            </w:r>
          </w:p>
        </w:tc>
        <w:tc>
          <w:tcPr>
            <w:tcW w:w="1719" w:type="dxa"/>
          </w:tcPr>
          <w:p w14:paraId="3D2C42E8"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Drip Fertigation (Hydroponic)</w:t>
            </w:r>
          </w:p>
        </w:tc>
        <w:tc>
          <w:tcPr>
            <w:tcW w:w="1080" w:type="dxa"/>
          </w:tcPr>
          <w:p w14:paraId="660F9C9D"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WiFi</w:t>
            </w:r>
          </w:p>
        </w:tc>
        <w:tc>
          <w:tcPr>
            <w:tcW w:w="600" w:type="dxa"/>
          </w:tcPr>
          <w:p w14:paraId="7FF8272C"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2</w:t>
            </w:r>
          </w:p>
        </w:tc>
        <w:tc>
          <w:tcPr>
            <w:tcW w:w="567" w:type="dxa"/>
          </w:tcPr>
          <w:p w14:paraId="6E03B1A7"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1</w:t>
            </w:r>
          </w:p>
        </w:tc>
        <w:tc>
          <w:tcPr>
            <w:tcW w:w="850" w:type="dxa"/>
          </w:tcPr>
          <w:p w14:paraId="1EC33873"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1</w:t>
            </w:r>
          </w:p>
        </w:tc>
        <w:tc>
          <w:tcPr>
            <w:tcW w:w="874" w:type="dxa"/>
          </w:tcPr>
          <w:p w14:paraId="42595318"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0</w:t>
            </w:r>
          </w:p>
        </w:tc>
      </w:tr>
      <w:tr w:rsidR="007148AE" w14:paraId="44ECBB94" w14:textId="77777777" w:rsidTr="007148AE">
        <w:trPr>
          <w:jc w:val="center"/>
        </w:trPr>
        <w:tc>
          <w:tcPr>
            <w:tcW w:w="653" w:type="dxa"/>
          </w:tcPr>
          <w:p w14:paraId="557CD6A2"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GH4</w:t>
            </w:r>
          </w:p>
        </w:tc>
        <w:tc>
          <w:tcPr>
            <w:tcW w:w="1570" w:type="dxa"/>
          </w:tcPr>
          <w:p w14:paraId="3142E7FC" w14:textId="77777777" w:rsidR="007148AE" w:rsidRDefault="007148AE" w:rsidP="00C44E93">
            <w:pPr>
              <w:pStyle w:val="TableCaption"/>
              <w:snapToGrid w:val="0"/>
              <w:jc w:val="left"/>
              <w:rPr>
                <w:rFonts w:ascii="Times New Roman" w:hAnsi="Times New Roman"/>
              </w:rPr>
            </w:pPr>
            <w:r>
              <w:rPr>
                <w:rFonts w:ascii="Times New Roman" w:hAnsi="Times New Roman"/>
              </w:rPr>
              <w:t>Market gardener</w:t>
            </w:r>
          </w:p>
        </w:tc>
        <w:tc>
          <w:tcPr>
            <w:tcW w:w="963" w:type="dxa"/>
          </w:tcPr>
          <w:p w14:paraId="6ECA6DEF"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Tomato</w:t>
            </w:r>
          </w:p>
        </w:tc>
        <w:tc>
          <w:tcPr>
            <w:tcW w:w="1719" w:type="dxa"/>
          </w:tcPr>
          <w:p w14:paraId="66E85D49"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Organic</w:t>
            </w:r>
          </w:p>
        </w:tc>
        <w:tc>
          <w:tcPr>
            <w:tcW w:w="1080" w:type="dxa"/>
          </w:tcPr>
          <w:p w14:paraId="7B4FB646"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None</w:t>
            </w:r>
          </w:p>
        </w:tc>
        <w:tc>
          <w:tcPr>
            <w:tcW w:w="600" w:type="dxa"/>
          </w:tcPr>
          <w:p w14:paraId="3C1085D4"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1</w:t>
            </w:r>
          </w:p>
        </w:tc>
        <w:tc>
          <w:tcPr>
            <w:tcW w:w="567" w:type="dxa"/>
          </w:tcPr>
          <w:p w14:paraId="60EAED28"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0</w:t>
            </w:r>
          </w:p>
        </w:tc>
        <w:tc>
          <w:tcPr>
            <w:tcW w:w="850" w:type="dxa"/>
          </w:tcPr>
          <w:p w14:paraId="2F98FAE3"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0</w:t>
            </w:r>
          </w:p>
        </w:tc>
        <w:tc>
          <w:tcPr>
            <w:tcW w:w="874" w:type="dxa"/>
          </w:tcPr>
          <w:p w14:paraId="1ADDAAC3"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1</w:t>
            </w:r>
          </w:p>
        </w:tc>
      </w:tr>
      <w:tr w:rsidR="007148AE" w14:paraId="4CC63725" w14:textId="77777777" w:rsidTr="007148AE">
        <w:trPr>
          <w:trHeight w:val="115"/>
          <w:jc w:val="center"/>
        </w:trPr>
        <w:tc>
          <w:tcPr>
            <w:tcW w:w="653" w:type="dxa"/>
            <w:tcBorders>
              <w:bottom w:val="single" w:sz="4" w:space="0" w:color="000000"/>
            </w:tcBorders>
          </w:tcPr>
          <w:p w14:paraId="48E4F435"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GH5</w:t>
            </w:r>
          </w:p>
        </w:tc>
        <w:tc>
          <w:tcPr>
            <w:tcW w:w="1570" w:type="dxa"/>
            <w:tcBorders>
              <w:bottom w:val="single" w:sz="4" w:space="0" w:color="000000"/>
            </w:tcBorders>
          </w:tcPr>
          <w:p w14:paraId="12796E1F" w14:textId="77777777" w:rsidR="007148AE" w:rsidRDefault="007148AE" w:rsidP="00C44E93">
            <w:pPr>
              <w:pStyle w:val="TableCaption"/>
              <w:snapToGrid w:val="0"/>
              <w:jc w:val="left"/>
              <w:rPr>
                <w:rFonts w:ascii="Times New Roman" w:hAnsi="Times New Roman"/>
              </w:rPr>
            </w:pPr>
            <w:r>
              <w:rPr>
                <w:rFonts w:ascii="Times New Roman" w:hAnsi="Times New Roman"/>
              </w:rPr>
              <w:t>Agri-tourism farmer</w:t>
            </w:r>
          </w:p>
        </w:tc>
        <w:tc>
          <w:tcPr>
            <w:tcW w:w="963" w:type="dxa"/>
            <w:tcBorders>
              <w:bottom w:val="single" w:sz="4" w:space="0" w:color="000000"/>
            </w:tcBorders>
          </w:tcPr>
          <w:p w14:paraId="57825F12"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Strawberry</w:t>
            </w:r>
          </w:p>
        </w:tc>
        <w:tc>
          <w:tcPr>
            <w:tcW w:w="1719" w:type="dxa"/>
            <w:tcBorders>
              <w:bottom w:val="single" w:sz="4" w:space="0" w:color="000000"/>
            </w:tcBorders>
          </w:tcPr>
          <w:p w14:paraId="3F861E24"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Drip Fertigation</w:t>
            </w:r>
          </w:p>
        </w:tc>
        <w:tc>
          <w:tcPr>
            <w:tcW w:w="1080" w:type="dxa"/>
            <w:tcBorders>
              <w:bottom w:val="single" w:sz="4" w:space="0" w:color="000000"/>
            </w:tcBorders>
          </w:tcPr>
          <w:p w14:paraId="173F1470"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WiFi / 4G</w:t>
            </w:r>
          </w:p>
        </w:tc>
        <w:tc>
          <w:tcPr>
            <w:tcW w:w="600" w:type="dxa"/>
            <w:tcBorders>
              <w:bottom w:val="single" w:sz="4" w:space="0" w:color="000000"/>
            </w:tcBorders>
          </w:tcPr>
          <w:p w14:paraId="69FFB97E"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2</w:t>
            </w:r>
          </w:p>
        </w:tc>
        <w:tc>
          <w:tcPr>
            <w:tcW w:w="567" w:type="dxa"/>
            <w:tcBorders>
              <w:bottom w:val="single" w:sz="4" w:space="0" w:color="000000"/>
            </w:tcBorders>
          </w:tcPr>
          <w:p w14:paraId="127C0871"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0</w:t>
            </w:r>
          </w:p>
        </w:tc>
        <w:tc>
          <w:tcPr>
            <w:tcW w:w="850" w:type="dxa"/>
            <w:tcBorders>
              <w:bottom w:val="single" w:sz="4" w:space="0" w:color="000000"/>
            </w:tcBorders>
          </w:tcPr>
          <w:p w14:paraId="3B5C9F95"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1</w:t>
            </w:r>
          </w:p>
        </w:tc>
        <w:tc>
          <w:tcPr>
            <w:tcW w:w="874" w:type="dxa"/>
            <w:tcBorders>
              <w:bottom w:val="single" w:sz="4" w:space="0" w:color="000000"/>
            </w:tcBorders>
          </w:tcPr>
          <w:p w14:paraId="6B62EA5F" w14:textId="77777777" w:rsidR="007148AE" w:rsidRDefault="007148AE" w:rsidP="00C44E93">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0</w:t>
            </w:r>
          </w:p>
        </w:tc>
      </w:tr>
    </w:tbl>
    <w:p w14:paraId="23EF25CB" w14:textId="77777777" w:rsidR="007148AE" w:rsidRDefault="007148AE" w:rsidP="007148AE">
      <w:pPr>
        <w:pStyle w:val="BodyText"/>
        <w:spacing w:after="0"/>
        <w:rPr>
          <w:iCs/>
          <w:color w:val="000000"/>
        </w:rPr>
      </w:pPr>
    </w:p>
    <w:p w14:paraId="54F28AFA" w14:textId="77777777" w:rsidR="007148AE" w:rsidRDefault="007148AE" w:rsidP="007148AE">
      <w:pPr>
        <w:pStyle w:val="BodyText"/>
        <w:spacing w:after="0"/>
        <w:rPr>
          <w:iCs/>
          <w:color w:val="000000"/>
        </w:rPr>
        <w:sectPr w:rsidR="007148AE" w:rsidSect="007148AE">
          <w:type w:val="continuous"/>
          <w:pgSz w:w="11906" w:h="16838"/>
          <w:pgMar w:top="1418" w:right="1418" w:bottom="1418" w:left="1418" w:header="709" w:footer="709" w:gutter="0"/>
          <w:cols w:space="226"/>
          <w:formProt w:val="0"/>
          <w:titlePg/>
          <w:docGrid w:linePitch="360" w:charSpace="32768"/>
        </w:sectPr>
      </w:pPr>
    </w:p>
    <w:p w14:paraId="0DDDB3F8" w14:textId="0B519CA1" w:rsidR="00F51085" w:rsidRDefault="007C4D6B">
      <w:pPr>
        <w:pStyle w:val="BodyText"/>
        <w:rPr>
          <w:iCs/>
          <w:color w:val="000000"/>
        </w:rPr>
      </w:pPr>
      <w:r>
        <w:rPr>
          <w:iCs/>
          <w:color w:val="000000"/>
        </w:rPr>
        <w:t xml:space="preserve">Three key criteria were selected to assess the potential adoption of the UDAWA Gadadar system in each greenhouse: C1: </w:t>
      </w:r>
      <w:r>
        <w:rPr>
          <w:rStyle w:val="Strong"/>
          <w:b w:val="0"/>
          <w:bCs w:val="0"/>
          <w:iCs/>
          <w:color w:val="000000"/>
        </w:rPr>
        <w:t>Connectivity</w:t>
      </w:r>
      <w:r>
        <w:rPr>
          <w:iCs/>
          <w:color w:val="000000"/>
        </w:rPr>
        <w:t xml:space="preserve"> – Evaluating the availability of WiFi access or smartphones for the system; C2: </w:t>
      </w:r>
      <w:r>
        <w:rPr>
          <w:rStyle w:val="Strong"/>
          <w:b w:val="0"/>
          <w:bCs w:val="0"/>
          <w:iCs/>
          <w:color w:val="000000"/>
        </w:rPr>
        <w:t>Affordability</w:t>
      </w:r>
      <w:r>
        <w:rPr>
          <w:b/>
          <w:bCs/>
          <w:iCs/>
          <w:color w:val="000000"/>
        </w:rPr>
        <w:t xml:space="preserve"> </w:t>
      </w:r>
      <w:r>
        <w:rPr>
          <w:iCs/>
          <w:color w:val="000000"/>
        </w:rPr>
        <w:t xml:space="preserve">– Considering the farmers' budget and willingness to invest in the system; and C3: </w:t>
      </w:r>
      <w:r>
        <w:rPr>
          <w:rStyle w:val="Strong"/>
          <w:b w:val="0"/>
          <w:bCs w:val="0"/>
          <w:iCs/>
          <w:color w:val="000000"/>
        </w:rPr>
        <w:t>Integration</w:t>
      </w:r>
      <w:r>
        <w:rPr>
          <w:b/>
          <w:bCs/>
          <w:iCs/>
          <w:color w:val="000000"/>
        </w:rPr>
        <w:t xml:space="preserve"> </w:t>
      </w:r>
      <w:r>
        <w:rPr>
          <w:iCs/>
          <w:color w:val="000000"/>
        </w:rPr>
        <w:t>– Assessing the ability of the IoT agent to accommodate existing greenhouse instruments. These criteria were selected based on field observations and represent the most essential factors influencing system adoption. Each criterion was weighted based on its significance: Connectivity (C1): 40%, Affordability (C2): 30%, and Integration (C3): 30%. This weighting reflects the relative importance of each criterion in determining the successful implementation of the UDAWA Gadadar system.</w:t>
      </w:r>
    </w:p>
    <w:p w14:paraId="0D4DE579" w14:textId="77777777" w:rsidR="00F51085" w:rsidRDefault="007C4D6B">
      <w:pPr>
        <w:pStyle w:val="BodyText"/>
        <w:rPr>
          <w:iCs/>
          <w:color w:val="000000"/>
        </w:rPr>
      </w:pPr>
      <w:r>
        <w:rPr>
          <w:iCs/>
          <w:color w:val="000000"/>
        </w:rPr>
        <w:t>Each greenhouse model was evaluated against the criteria on a scale of 1 to 5: 1 = Poor compatibility, 3 = Moderate compatibility, and 5 = Excellent compatibility. This scale allows for a quantitative assessment of each greenhouse model against the established criteria. The ground rule for assessing connectivity is that if a WiFi network and a smartphone are available, it is rated excellent; if only a smartphone or WiFi is available, it is rated good; and if neither is available, it is rated poor. For affordability, we assessed subjectively based on the annual income of the farmers we observed and their willingness to implement digitalization in their greenhouses. For compatibility, we assessed based on the number of instruments in the greenhouse with the number of relay channels owned by the prototype model. If the number of relay channels is sufficient to control the instruments, the value is better.</w:t>
      </w:r>
    </w:p>
    <w:p w14:paraId="0069052A" w14:textId="77777777" w:rsidR="00F51085" w:rsidRDefault="007C4D6B">
      <w:pPr>
        <w:pStyle w:val="BodyText"/>
        <w:rPr>
          <w:iCs/>
          <w:color w:val="000000"/>
        </w:rPr>
      </w:pPr>
      <w:r>
        <w:rPr>
          <w:iCs/>
          <w:color w:val="000000"/>
        </w:rPr>
        <w:t xml:space="preserve">To account for the criteria weights, the score for each greenhouse model was normalized. Normalization was performed by dividing the individual score by the total column score. </w:t>
      </w:r>
    </w:p>
    <w:p w14:paraId="63956FD4" w14:textId="2AD73C46" w:rsidR="00F51085" w:rsidRDefault="007C4D6B" w:rsidP="007148AE">
      <w:pPr>
        <w:pStyle w:val="BodyText"/>
        <w:rPr>
          <w:iCs/>
          <w:color w:val="000000"/>
        </w:rPr>
      </w:pPr>
      <w:r>
        <w:rPr>
          <w:iCs/>
          <w:color w:val="000000"/>
        </w:rPr>
        <w:t>The normalized value was then multiplied by the respective weight to calculate the weighted score for each criterion. The total weighted score for each greenhouse model was used to determine its relevance to the UDAWA Gadadar system.</w:t>
      </w:r>
    </w:p>
    <w:p w14:paraId="76F00688" w14:textId="77777777" w:rsidR="00F51085" w:rsidRDefault="007C4D6B">
      <w:pPr>
        <w:pStyle w:val="Heading1"/>
        <w:ind w:left="284" w:hanging="284"/>
      </w:pPr>
      <w:r>
        <w:t xml:space="preserve">3. </w:t>
      </w:r>
      <w:r>
        <w:rPr>
          <w:color w:val="000000"/>
        </w:rPr>
        <w:t>Results</w:t>
      </w:r>
      <w:r>
        <w:t xml:space="preserve"> and Discussions</w:t>
      </w:r>
    </w:p>
    <w:p w14:paraId="71378C89" w14:textId="77777777" w:rsidR="00F51085" w:rsidRDefault="007C4D6B">
      <w:pPr>
        <w:pStyle w:val="Heading2"/>
        <w:spacing w:before="120" w:after="120"/>
        <w:rPr>
          <w:iCs/>
        </w:rPr>
      </w:pPr>
      <w:r>
        <w:rPr>
          <w:iCs/>
          <w:color w:val="000000"/>
          <w:szCs w:val="20"/>
        </w:rPr>
        <w:t>3.1 Implementation of Cyber-Physical Agents</w:t>
      </w:r>
    </w:p>
    <w:p w14:paraId="7B174ACB" w14:textId="77777777" w:rsidR="00F51085" w:rsidRDefault="007C4D6B">
      <w:pPr>
        <w:pStyle w:val="BodyText"/>
        <w:spacing w:before="120"/>
        <w:rPr>
          <w:iCs/>
        </w:rPr>
      </w:pPr>
      <w:r>
        <w:rPr>
          <w:iCs/>
          <w:color w:val="000000"/>
        </w:rPr>
        <w:t>Before fabricating the UDAWA Gadadar prototype, we conducted design and assembly simulations using Fusion 360 software. The simulation, whose results are displayed in Figure 5, allowed us to visualize and test the prototype design virtually, including the placement of internal and external components, as well as identify potential design or assembly issues before the physical prototype was built. The UDAWA Gadadar prototype was designed with dimensions of 220x210x100mm, which were deemed suitable for easy integration with various small-scale greenhouse models.</w:t>
      </w:r>
    </w:p>
    <w:p w14:paraId="479D44A8" w14:textId="1B315CE2" w:rsidR="00F51085" w:rsidRDefault="007C4D6B">
      <w:pPr>
        <w:pStyle w:val="BodyText"/>
      </w:pPr>
      <w:r>
        <w:t>Utilizing this 3D design simulation provides several advantages. First, it helps reduce prototype development costs, particularly in terms of the early identification and resolution of design issues. Second, it allows us to efficiently explore various design options and hardware configurations, including determining how to connect the prototype universally with greenhouse instruments. This process is crucial for ensuring that the resulting prototype is easy for farmers to assemble, maintain, and upgrade. Moreover, this simulation also assists us in optimizing the layout of the internal components to maximize space and cooling efficiency. The 3D design results in STL format were then exported and printed using a 3D printer to create the prototype casing.</w:t>
      </w:r>
    </w:p>
    <w:p w14:paraId="6AE599C1" w14:textId="77777777" w:rsidR="00D4224D" w:rsidRDefault="00D4224D" w:rsidP="00D4224D">
      <w:pPr>
        <w:pStyle w:val="BodyText"/>
      </w:pPr>
      <w:r>
        <w:rPr>
          <w:noProof/>
          <w:lang w:val="id-ID" w:eastAsia="id-ID"/>
        </w:rPr>
        <w:drawing>
          <wp:inline distT="0" distB="0" distL="0" distR="0" wp14:anchorId="488A7E46" wp14:editId="041B2A63">
            <wp:extent cx="2807970" cy="168910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8" cstate="print"/>
                    <a:stretch>
                      <a:fillRect/>
                    </a:stretch>
                  </pic:blipFill>
                  <pic:spPr bwMode="auto">
                    <a:xfrm>
                      <a:off x="0" y="0"/>
                      <a:ext cx="2807970" cy="1689100"/>
                    </a:xfrm>
                    <a:prstGeom prst="rect">
                      <a:avLst/>
                    </a:prstGeom>
                    <a:noFill/>
                  </pic:spPr>
                </pic:pic>
              </a:graphicData>
            </a:graphic>
          </wp:inline>
        </w:drawing>
      </w:r>
    </w:p>
    <w:p w14:paraId="05487A5A" w14:textId="4E29D1D6" w:rsidR="00D4224D" w:rsidRDefault="00D4224D" w:rsidP="00D4224D">
      <w:pPr>
        <w:pStyle w:val="Caption"/>
        <w:spacing w:after="120"/>
      </w:pPr>
      <w:r>
        <w:rPr>
          <w:iCs/>
          <w:color w:val="000000"/>
          <w:szCs w:val="20"/>
        </w:rPr>
        <w:t xml:space="preserve">Figure </w:t>
      </w:r>
      <w:r>
        <w:rPr>
          <w:iCs/>
          <w:color w:val="000000"/>
          <w:szCs w:val="20"/>
        </w:rPr>
        <w:fldChar w:fldCharType="begin"/>
      </w:r>
      <w:r>
        <w:rPr>
          <w:iCs/>
          <w:color w:val="000000"/>
          <w:szCs w:val="20"/>
        </w:rPr>
        <w:instrText xml:space="preserve"> SEQ Gambar \* ARABIC </w:instrText>
      </w:r>
      <w:r>
        <w:rPr>
          <w:iCs/>
          <w:color w:val="000000"/>
          <w:szCs w:val="20"/>
        </w:rPr>
        <w:fldChar w:fldCharType="separate"/>
      </w:r>
      <w:r w:rsidR="00C8313A">
        <w:rPr>
          <w:iCs/>
          <w:noProof/>
          <w:color w:val="000000"/>
          <w:szCs w:val="20"/>
        </w:rPr>
        <w:t>5</w:t>
      </w:r>
      <w:r>
        <w:rPr>
          <w:iCs/>
          <w:color w:val="000000"/>
          <w:szCs w:val="20"/>
        </w:rPr>
        <w:fldChar w:fldCharType="end"/>
      </w:r>
      <w:r>
        <w:rPr>
          <w:iCs/>
          <w:color w:val="000000"/>
          <w:szCs w:val="20"/>
        </w:rPr>
        <w:t>.The CAD model of the UDAWA Gadadar Agent</w:t>
      </w:r>
    </w:p>
    <w:p w14:paraId="775FC50F" w14:textId="74E9956F" w:rsidR="00F51085" w:rsidRDefault="007C4D6B">
      <w:pPr>
        <w:pStyle w:val="BodyText"/>
      </w:pPr>
      <w:r>
        <w:t>Figure 6 illustrates the internal arrangement of the UDAWA Gadadar agent hardware, comprising a mainboard, a power sensor module, a relay module, and other supporting components. The mainboard is designed with universality in mind to accommodate various UDAWA agent variants in the future. This PCB mainboard can be interfaced with a range of sensors, actuators, and common modules applicable to smart farming, thus enabling system development and adaptation as needed.</w:t>
      </w:r>
    </w:p>
    <w:p w14:paraId="5A652740" w14:textId="77777777" w:rsidR="007148AE" w:rsidRDefault="007148AE" w:rsidP="007148AE">
      <w:pPr>
        <w:pStyle w:val="BodyText"/>
      </w:pPr>
      <w:r>
        <w:rPr>
          <w:noProof/>
          <w:lang w:val="id-ID" w:eastAsia="id-ID"/>
        </w:rPr>
        <w:drawing>
          <wp:inline distT="0" distB="0" distL="0" distR="0" wp14:anchorId="0692F746" wp14:editId="4F24EC34">
            <wp:extent cx="2807970" cy="2807970"/>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9" cstate="print"/>
                    <a:stretch>
                      <a:fillRect/>
                    </a:stretch>
                  </pic:blipFill>
                  <pic:spPr bwMode="auto">
                    <a:xfrm>
                      <a:off x="0" y="0"/>
                      <a:ext cx="2807970" cy="2807970"/>
                    </a:xfrm>
                    <a:prstGeom prst="rect">
                      <a:avLst/>
                    </a:prstGeom>
                    <a:noFill/>
                  </pic:spPr>
                </pic:pic>
              </a:graphicData>
            </a:graphic>
          </wp:inline>
        </w:drawing>
      </w:r>
    </w:p>
    <w:p w14:paraId="759F97E4" w14:textId="21AE7A17" w:rsidR="007148AE" w:rsidRDefault="007148AE" w:rsidP="007148AE">
      <w:pPr>
        <w:pStyle w:val="Caption"/>
        <w:spacing w:after="120"/>
      </w:pPr>
      <w:r>
        <w:rPr>
          <w:iCs/>
          <w:color w:val="000000"/>
          <w:szCs w:val="20"/>
        </w:rPr>
        <w:t xml:space="preserve">Figure </w:t>
      </w:r>
      <w:r>
        <w:rPr>
          <w:iCs/>
          <w:color w:val="000000"/>
          <w:szCs w:val="20"/>
        </w:rPr>
        <w:fldChar w:fldCharType="begin"/>
      </w:r>
      <w:r>
        <w:rPr>
          <w:iCs/>
          <w:color w:val="000000"/>
          <w:szCs w:val="20"/>
        </w:rPr>
        <w:instrText xml:space="preserve"> SEQ Gambar \* ARABIC </w:instrText>
      </w:r>
      <w:r>
        <w:rPr>
          <w:iCs/>
          <w:color w:val="000000"/>
          <w:szCs w:val="20"/>
        </w:rPr>
        <w:fldChar w:fldCharType="separate"/>
      </w:r>
      <w:r w:rsidR="00C8313A">
        <w:rPr>
          <w:iCs/>
          <w:noProof/>
          <w:color w:val="000000"/>
          <w:szCs w:val="20"/>
        </w:rPr>
        <w:t>6</w:t>
      </w:r>
      <w:r>
        <w:rPr>
          <w:iCs/>
          <w:color w:val="000000"/>
          <w:szCs w:val="20"/>
        </w:rPr>
        <w:fldChar w:fldCharType="end"/>
      </w:r>
      <w:r>
        <w:rPr>
          <w:iCs/>
          <w:color w:val="000000"/>
          <w:szCs w:val="20"/>
        </w:rPr>
        <w:t>. The build-up of the UDAWA Gadadar agent, showing how each component connected and hooked</w:t>
      </w:r>
    </w:p>
    <w:p w14:paraId="4016A960" w14:textId="77777777" w:rsidR="007148AE" w:rsidRDefault="007148AE">
      <w:pPr>
        <w:pStyle w:val="BodyText"/>
      </w:pPr>
    </w:p>
    <w:p w14:paraId="45483283" w14:textId="77777777" w:rsidR="00D4224D" w:rsidRDefault="00D4224D" w:rsidP="00D4224D">
      <w:pPr>
        <w:pStyle w:val="BodyText"/>
      </w:pPr>
      <w:r>
        <w:t>The PZEM-004T power sensor module, equipped with a current transformer, is utilized to measure electrical parameters such as current, voltage, and power. This module is connected to the ESP32 through a Logic Level Converter to ensure voltage compatibility and accurate serial communication. Additionally, a DS3231 real-time clock module is integrated to maintain timekeeping accuracy even when the device is offline.</w:t>
      </w:r>
    </w:p>
    <w:p w14:paraId="7DC69E62" w14:textId="4A824055" w:rsidR="00D4224D" w:rsidRDefault="00D4224D" w:rsidP="00D4224D">
      <w:pPr>
        <w:pStyle w:val="BodyText"/>
      </w:pPr>
      <w:r>
        <w:t>Safety and neatness of the electrical installation are prioritized in the design of the UDAWA Gadadar agent. The use of terminal blocks for connecting high-voltage cables enhances safety and facilitates maintenance. A Mini Circuit Breaker (MCB) is also integrated to protect the internal electrical installation from short circuits, thereby preventing potential fire hazards and device damage. On the underside of the mainboard, a four-channel relay module with optocouplers enables independent control of various greenhouse instruments.</w:t>
      </w:r>
    </w:p>
    <w:p w14:paraId="585CA317" w14:textId="77777777" w:rsidR="007148AE" w:rsidRDefault="007148AE" w:rsidP="007148AE">
      <w:pPr>
        <w:pStyle w:val="BodyText"/>
        <w:rPr>
          <w:color w:val="000000"/>
        </w:rPr>
      </w:pPr>
      <w:r>
        <w:rPr>
          <w:color w:val="000000"/>
        </w:rPr>
        <w:t>To provide visual indication of the agent's operational status, an RGB LED and a buzzer are embedded as physical indicators. The RGB LED will illuminate red if the agent is in offline mode, green if connected to WiFi, and blue if connected to tier 2 or 3. The LED and buzzer will also blink and sound an alarm if abnormal conditions occur, such as sensor errors or greenhouse instrument load faults.</w:t>
      </w:r>
    </w:p>
    <w:p w14:paraId="26F6077C" w14:textId="77777777" w:rsidR="00F51085" w:rsidRDefault="007C4D6B">
      <w:pPr>
        <w:pStyle w:val="BodyText"/>
        <w:rPr>
          <w:color w:val="000000"/>
        </w:rPr>
      </w:pPr>
      <w:r>
        <w:rPr>
          <w:color w:val="000000"/>
        </w:rPr>
        <w:t>After the UDAWA Gadadar prototype fabrication was completed, we conducted on-site installation and testing. The prototype was installed in a strawberry greenhouse representative of greenhouse model number 5 (GH5) in Table 1. This greenhouse model was selected based on the decision matrix analysis results in Table 5, where GH5 showed the second-highest relevance score to the UDAWA Gadadar system. We initially planned to conduct testing in GH3 as the most relevant model; however, considering that the farm is a production farm implementing certified standards, we shifted the testing to ensure it did not negatively impact the farmer's yield.</w:t>
      </w:r>
    </w:p>
    <w:p w14:paraId="4789F610" w14:textId="77777777" w:rsidR="00F51085" w:rsidRDefault="007C4D6B">
      <w:pPr>
        <w:pStyle w:val="BodyText"/>
      </w:pPr>
      <w:r>
        <w:t>In this installation and testing phase, the UDAWA Gadadar prototype was connected to three greenhouse instruments: the fertigation pump, foliar pump, and lighting, as shown in Figure 7. This testing aimed to ensure that the prototype could function properly in real-world conditions and integrate with instruments commonly used in small-scale greenhouses. The test results showed that the UDAWA Gadadar agent could control and monitor the three instruments in real-time through the designed web interface.</w:t>
      </w:r>
    </w:p>
    <w:p w14:paraId="12B1B1BC" w14:textId="77777777" w:rsidR="00F51085" w:rsidRDefault="007C4D6B">
      <w:pPr>
        <w:pStyle w:val="BodyText"/>
      </w:pPr>
      <w:r>
        <w:t>An interesting finding from this installation process was the identification of the most effective method for connecting the UDAWA Gadadar agent to greenhouse instruments. The use of hanging plug sockets, which are readily available in electronics stores, proved to be a simple, practical, and safe solution. In addition to facilitating installation, the use of hanging plug sockets provides flexibility for farmers to move greenhouse instruments as needed without modifying the electrical installation.</w:t>
      </w:r>
    </w:p>
    <w:p w14:paraId="78FD7AB1" w14:textId="77777777" w:rsidR="00F51085" w:rsidRDefault="007C4D6B">
      <w:pPr>
        <w:pStyle w:val="BodyText"/>
      </w:pPr>
      <w:r>
        <w:rPr>
          <w:noProof/>
          <w:lang w:val="id-ID" w:eastAsia="id-ID"/>
        </w:rPr>
        <w:drawing>
          <wp:inline distT="0" distB="0" distL="0" distR="0" wp14:anchorId="1A99CFA0" wp14:editId="19BEDCC8">
            <wp:extent cx="2807970" cy="2807970"/>
            <wp:effectExtent l="0" t="0" r="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20" cstate="print"/>
                    <a:stretch>
                      <a:fillRect/>
                    </a:stretch>
                  </pic:blipFill>
                  <pic:spPr bwMode="auto">
                    <a:xfrm>
                      <a:off x="0" y="0"/>
                      <a:ext cx="2807970" cy="2807970"/>
                    </a:xfrm>
                    <a:prstGeom prst="rect">
                      <a:avLst/>
                    </a:prstGeom>
                    <a:noFill/>
                  </pic:spPr>
                </pic:pic>
              </a:graphicData>
            </a:graphic>
          </wp:inline>
        </w:drawing>
      </w:r>
    </w:p>
    <w:p w14:paraId="2F58BE34" w14:textId="12CACA2C" w:rsidR="00F51085" w:rsidRDefault="007C4D6B">
      <w:pPr>
        <w:pStyle w:val="BodyText"/>
        <w:jc w:val="center"/>
        <w:rPr>
          <w:bCs/>
          <w:iCs/>
          <w:sz w:val="16"/>
          <w:szCs w:val="16"/>
        </w:rPr>
      </w:pPr>
      <w:r>
        <w:rPr>
          <w:bCs/>
          <w:iCs/>
          <w:sz w:val="16"/>
          <w:szCs w:val="16"/>
        </w:rPr>
        <w:t xml:space="preserve">Figure </w:t>
      </w:r>
      <w:r w:rsidR="00F51085">
        <w:rPr>
          <w:bCs/>
          <w:iCs/>
          <w:sz w:val="16"/>
          <w:szCs w:val="16"/>
        </w:rPr>
        <w:fldChar w:fldCharType="begin"/>
      </w:r>
      <w:r>
        <w:rPr>
          <w:bCs/>
          <w:iCs/>
          <w:sz w:val="16"/>
          <w:szCs w:val="16"/>
        </w:rPr>
        <w:instrText xml:space="preserve"> SEQ Gambar \* ARABIC </w:instrText>
      </w:r>
      <w:r w:rsidR="00F51085">
        <w:rPr>
          <w:bCs/>
          <w:iCs/>
          <w:sz w:val="16"/>
          <w:szCs w:val="16"/>
        </w:rPr>
        <w:fldChar w:fldCharType="separate"/>
      </w:r>
      <w:r w:rsidR="00C8313A">
        <w:rPr>
          <w:bCs/>
          <w:iCs/>
          <w:noProof/>
          <w:sz w:val="16"/>
          <w:szCs w:val="16"/>
        </w:rPr>
        <w:t>7</w:t>
      </w:r>
      <w:r w:rsidR="00F51085">
        <w:rPr>
          <w:bCs/>
          <w:iCs/>
          <w:sz w:val="16"/>
          <w:szCs w:val="16"/>
        </w:rPr>
        <w:fldChar w:fldCharType="end"/>
      </w:r>
      <w:r>
        <w:rPr>
          <w:bCs/>
          <w:iCs/>
          <w:sz w:val="16"/>
          <w:szCs w:val="16"/>
        </w:rPr>
        <w:t>. The installation of the UDAWA Gadadar agent at one of the strawberry greenhouse, showing three greenhouse instruments connected to the universal plug</w:t>
      </w:r>
    </w:p>
    <w:p w14:paraId="7A85ABED" w14:textId="77777777" w:rsidR="00F51085" w:rsidRDefault="007C4D6B">
      <w:pPr>
        <w:pStyle w:val="BodyText"/>
      </w:pPr>
      <w:r>
        <w:t xml:space="preserve">Figure 8 illustrates the built-in embedded web interface of UDAWA Gadadar, which serves as an access point for farmers at the tier 1 level. Tier 1 can be operated using only a smartphone connected directly to the UDAWA agent on the local network or peer-to-peer via the built-in AP mode on the UDAWA agent side. This allows farmers to access the UDAWA Gadadar agent interface through a web browser on their smartphones without requiring additional hardware, such as a computer or tablet or installing applications that burden their phones. This ease of access is crucial, especially given the high penetration rate of smartphones in Indonesia, which means that most small farmers already have access to this technology. Thanks to the mDNS service, we can set up a local domain, which helps farmers easily access the web interface. </w:t>
      </w:r>
    </w:p>
    <w:p w14:paraId="75219789" w14:textId="77777777" w:rsidR="00F51085" w:rsidRDefault="007C4D6B">
      <w:pPr>
        <w:pStyle w:val="BodyText"/>
      </w:pPr>
      <w:r>
        <w:t xml:space="preserve">Figure 8 also displays the main pages of the embedded web interface embedded in the UDAWA Gadadar agent. This interface is designed using the Preact framework which is known to be lightweight and efficient, so it is able to run optimally on the ESP32 microcontroller with limited resources. Basic features have been implemented, including the initial setup page (Figure 8.A), setup success confirmation page (Figure 8.B), login page (Figure 8.C), channel selection page (Figure 8.D), channel configuration page (Figure 8.E), and the main page which displays power usage and channel status (Figure 8.F). Although not yet equipped with data logging and advanced analytics capabilities, this interface already provides farmers with the ability to manage UDAWA Gadadar agents and monitor greenhouse instrument conditions through real-time data obtained from power sensors, including conversion of electricity costs from kWh to local currency rates. </w:t>
      </w:r>
    </w:p>
    <w:p w14:paraId="24BF471A" w14:textId="77777777" w:rsidR="00F51085" w:rsidRDefault="007C4D6B">
      <w:pPr>
        <w:pStyle w:val="BodyText"/>
      </w:pPr>
      <w:r>
        <w:rPr>
          <w:iCs/>
          <w:color w:val="000000"/>
        </w:rPr>
        <w:t>The ability to monitor power usage and electricity costs in real-time provides transparency to farmers about energy efficiency in their greenhouses, allowing them to take the necessary actions to optimize energy use and reduce operating costs.</w:t>
      </w:r>
    </w:p>
    <w:p w14:paraId="59176C50" w14:textId="77777777" w:rsidR="00F51085" w:rsidRDefault="007C4D6B">
      <w:pPr>
        <w:pStyle w:val="BodyText"/>
      </w:pPr>
      <w:r>
        <w:rPr>
          <w:noProof/>
          <w:lang w:val="id-ID" w:eastAsia="id-ID"/>
        </w:rPr>
        <w:drawing>
          <wp:inline distT="0" distB="0" distL="0" distR="0" wp14:anchorId="4A28AC36" wp14:editId="15637F5E">
            <wp:extent cx="2807970" cy="416306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21" cstate="print"/>
                    <a:stretch>
                      <a:fillRect/>
                    </a:stretch>
                  </pic:blipFill>
                  <pic:spPr bwMode="auto">
                    <a:xfrm>
                      <a:off x="0" y="0"/>
                      <a:ext cx="2807970" cy="4163060"/>
                    </a:xfrm>
                    <a:prstGeom prst="rect">
                      <a:avLst/>
                    </a:prstGeom>
                    <a:noFill/>
                  </pic:spPr>
                </pic:pic>
              </a:graphicData>
            </a:graphic>
          </wp:inline>
        </w:drawing>
      </w:r>
    </w:p>
    <w:p w14:paraId="72A317EB" w14:textId="2DC2130A"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8</w:t>
      </w:r>
      <w:r w:rsidR="00F51085">
        <w:rPr>
          <w:iCs/>
          <w:color w:val="000000"/>
          <w:szCs w:val="20"/>
        </w:rPr>
        <w:fldChar w:fldCharType="end"/>
      </w:r>
      <w:r>
        <w:rPr>
          <w:iCs/>
          <w:color w:val="000000"/>
          <w:szCs w:val="20"/>
        </w:rPr>
        <w:t>.  The built-in web interface: (A) the initial setup page, (B) setup success confirmation, (C) login page, (D) channel selection, (E) channel configuration; and (F) main page showing the power usage and channel status</w:t>
      </w:r>
    </w:p>
    <w:p w14:paraId="75D990EC" w14:textId="77777777" w:rsidR="00F51085" w:rsidRDefault="007C4D6B">
      <w:pPr>
        <w:pStyle w:val="BodyText"/>
      </w:pPr>
      <w:r>
        <w:t>One interesting finding at this stage is the success in compiling the web interface into a 208KB file, so that it can be loaded into the ESP32's internal flash memory. Once loaded via HTTP, the interface running on the farmer's cellphone connects to the UDAWA Gadadar agent via websocket communication, allowing real-time control and monitoring. The use of websockets enables fast and efficient two-way communication between the user interface and the agent, so that data can be updated dynamically without having to reload the web page. This creates an interactive and responsive user experience, increasing the ease of use of the UDAWA Gadadar system for farmers.</w:t>
      </w:r>
    </w:p>
    <w:p w14:paraId="3699A5FF" w14:textId="77777777" w:rsidR="00F51085" w:rsidRDefault="007C4D6B">
      <w:pPr>
        <w:pStyle w:val="BodyText"/>
      </w:pPr>
      <w:r>
        <w:t>In addition to the physical prototype of the UDAWA Gadadar agent that was developed and field-tested as illustrated in Figure 6 and Figure 7, the development of the UDAWA system also includes prototype implementation at tier 2 and tier 3 levels. The prototypes at tier 2 and tier 3 were built utilizing other open-source solutions loaded in the form of an IoT platform.</w:t>
      </w:r>
    </w:p>
    <w:p w14:paraId="3F81EFA5" w14:textId="77777777" w:rsidR="00F51085" w:rsidRDefault="007C4D6B">
      <w:pPr>
        <w:pStyle w:val="BodyText"/>
      </w:pPr>
      <w:r>
        <w:t>The IoT platform chosen for this purpose is Thingsboard Community Edition (TBCE) version 3.8.1. TBCE was chosen due to several advantages it offers. First, TBCE is a highly flexible and easily developed platform, allowing unlimited development for features needed in managing farmer data and information in the future. Second, TBCE is equipped with a powerful rule engine that enables automation and arrangement of complex workflows. Third, TBCE has an edge version that can be easily deployed on edge devices such as Raspberry PI and can be automatically synchronized with the main server on the internet. In its implementation, TBCE is deployed on an edge device in the form of a Raspberry PI 5 placed at the agricultural location (tier 2) and on a virtual private server located on the internet (tier 3). Figure 9 illustrates the interface of the Thingsboard IoT platform used in tier 2 and tier 3.</w:t>
      </w:r>
    </w:p>
    <w:p w14:paraId="76D355C5" w14:textId="77777777" w:rsidR="00F51085" w:rsidRDefault="007C4D6B">
      <w:pPr>
        <w:pStyle w:val="BodyText"/>
        <w:rPr>
          <w:iCs/>
          <w:color w:val="000000"/>
        </w:rPr>
      </w:pPr>
      <w:r>
        <w:rPr>
          <w:noProof/>
          <w:lang w:val="id-ID" w:eastAsia="id-ID"/>
        </w:rPr>
        <w:drawing>
          <wp:inline distT="0" distB="0" distL="0" distR="0" wp14:anchorId="2519F445" wp14:editId="6FBCBA9A">
            <wp:extent cx="2807970" cy="1327785"/>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22" cstate="print"/>
                    <a:stretch>
                      <a:fillRect/>
                    </a:stretch>
                  </pic:blipFill>
                  <pic:spPr bwMode="auto">
                    <a:xfrm>
                      <a:off x="0" y="0"/>
                      <a:ext cx="2807970" cy="1327785"/>
                    </a:xfrm>
                    <a:prstGeom prst="rect">
                      <a:avLst/>
                    </a:prstGeom>
                    <a:noFill/>
                  </pic:spPr>
                </pic:pic>
              </a:graphicData>
            </a:graphic>
          </wp:inline>
        </w:drawing>
      </w:r>
    </w:p>
    <w:p w14:paraId="248E55B0" w14:textId="4B96EF41"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9</w:t>
      </w:r>
      <w:r w:rsidR="00F51085">
        <w:rPr>
          <w:iCs/>
          <w:color w:val="000000"/>
          <w:szCs w:val="20"/>
        </w:rPr>
        <w:fldChar w:fldCharType="end"/>
      </w:r>
      <w:r>
        <w:rPr>
          <w:iCs/>
          <w:color w:val="000000"/>
          <w:szCs w:val="20"/>
        </w:rPr>
        <w:t xml:space="preserve">.  The interface of the Thingsboard IoT platform in Tier 2 (edge, Raspberry Pi 5, 2GB RAM, 32GB storage) or Tier 3 (cloud, VPS 1 core, 1GB RAM, 25GB storage). </w:t>
      </w:r>
    </w:p>
    <w:p w14:paraId="037A02CE" w14:textId="77777777" w:rsidR="00F51085" w:rsidRDefault="007C4D6B">
      <w:pPr>
        <w:pStyle w:val="BodyText"/>
      </w:pPr>
      <w:r>
        <w:t>The use of TBCE at tier 2 and tier 3 opens up opportunities for wider UDAWA system development. One interesting finding from the use of TBCE is the prospect of further development towards a digital twin. A digital twin is a digital replica of a physical object, in this case, a greenhouse along with all the instruments and plants in it. With a digital twin, farmers can perform simulations and experiments in the digital world without having to directly intervene in the physical greenhouse. This can help farmers optimize cultivation strategies, reduce the risk of failure, and increase operational efficiency.</w:t>
      </w:r>
    </w:p>
    <w:p w14:paraId="7ACA3F59" w14:textId="77777777" w:rsidR="00F51085" w:rsidRDefault="007C4D6B">
      <w:pPr>
        <w:pStyle w:val="Heading2"/>
        <w:spacing w:before="120" w:after="120"/>
        <w:rPr>
          <w:iCs/>
        </w:rPr>
      </w:pPr>
      <w:r>
        <w:rPr>
          <w:iCs/>
          <w:color w:val="000000"/>
          <w:szCs w:val="20"/>
        </w:rPr>
        <w:t>3.2 Agent Cost and Performance Analysis</w:t>
      </w:r>
    </w:p>
    <w:p w14:paraId="3BED211C" w14:textId="77777777" w:rsidR="00F51085" w:rsidRDefault="007C4D6B">
      <w:pPr>
        <w:pStyle w:val="BodyText"/>
        <w:rPr>
          <w:color w:val="000000"/>
        </w:rPr>
      </w:pPr>
      <w:r>
        <w:rPr>
          <w:color w:val="000000"/>
        </w:rPr>
        <w:t xml:space="preserve">Figures 10 and 11 present the recorded data of memory usage for the UDAWA Gadadar agent installed in greenhouse GH5. The device was operated normally, with farmers accessing the built-in web interface, the agent connected to tiers 2 and 3, and relay control modes in both manual and automatic settings. It is important to note that measuring resource usage in embedded devices is challenging; therefore, the measurements shown in Figures 10 and 11 may not fully represent the device's actual memory usage. The remaining memory may not be entirely </w:t>
      </w:r>
      <w:proofErr w:type="gramStart"/>
      <w:r>
        <w:rPr>
          <w:color w:val="000000"/>
        </w:rPr>
        <w:t>allocatable,  especially</w:t>
      </w:r>
      <w:proofErr w:type="gramEnd"/>
      <w:r>
        <w:rPr>
          <w:color w:val="000000"/>
        </w:rPr>
        <w:t xml:space="preserve"> in cases of memory segmentation. The ESP32 device also has different memory types with their respective blocks.</w:t>
      </w:r>
    </w:p>
    <w:p w14:paraId="131BF8AE" w14:textId="77777777" w:rsidR="00F51085" w:rsidRDefault="007C4D6B">
      <w:pPr>
        <w:pStyle w:val="BodyText"/>
      </w:pPr>
      <w:r>
        <w:rPr>
          <w:color w:val="000000"/>
        </w:rPr>
        <w:t xml:space="preserve">Nevertheless, by observing the heap memory snapshot, we can gain a general overview of the remaining device resources. </w:t>
      </w:r>
      <w:r>
        <w:t>Figure 10 shows that the average remaining memory is 175KB when the device operates in non-SSL mode. This available memory is sufficient for executing the agent's basic functions, such as sensor readings, relay control, and communication with tiers 2 and 3.</w:t>
      </w:r>
    </w:p>
    <w:p w14:paraId="331FE5F5" w14:textId="77777777" w:rsidR="00F51085" w:rsidRDefault="007C4D6B">
      <w:pPr>
        <w:pStyle w:val="BodyText"/>
        <w:rPr>
          <w:iCs/>
          <w:color w:val="000000"/>
        </w:rPr>
      </w:pPr>
      <w:r>
        <w:rPr>
          <w:noProof/>
          <w:lang w:val="id-ID" w:eastAsia="id-ID"/>
        </w:rPr>
        <w:drawing>
          <wp:inline distT="0" distB="0" distL="0" distR="0" wp14:anchorId="364FA759" wp14:editId="28D3CF7C">
            <wp:extent cx="2807970" cy="197104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23" cstate="print"/>
                    <a:stretch>
                      <a:fillRect/>
                    </a:stretch>
                  </pic:blipFill>
                  <pic:spPr bwMode="auto">
                    <a:xfrm>
                      <a:off x="0" y="0"/>
                      <a:ext cx="2807970" cy="1971040"/>
                    </a:xfrm>
                    <a:prstGeom prst="rect">
                      <a:avLst/>
                    </a:prstGeom>
                    <a:noFill/>
                  </pic:spPr>
                </pic:pic>
              </a:graphicData>
            </a:graphic>
          </wp:inline>
        </w:drawing>
      </w:r>
    </w:p>
    <w:p w14:paraId="69C5AB10" w14:textId="47BE6A7C"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10</w:t>
      </w:r>
      <w:r w:rsidR="00F51085">
        <w:rPr>
          <w:iCs/>
          <w:color w:val="000000"/>
          <w:szCs w:val="20"/>
        </w:rPr>
        <w:fldChar w:fldCharType="end"/>
      </w:r>
      <w:r>
        <w:rPr>
          <w:iCs/>
          <w:color w:val="000000"/>
          <w:szCs w:val="20"/>
        </w:rPr>
        <w:t>. The free heap graph of the agent (with SSL disabled)</w:t>
      </w:r>
    </w:p>
    <w:p w14:paraId="5F407474" w14:textId="77777777" w:rsidR="00F51085" w:rsidRDefault="007C4D6B">
      <w:pPr>
        <w:pStyle w:val="BodyText"/>
      </w:pPr>
      <w:r>
        <w:rPr>
          <w:noProof/>
          <w:lang w:val="id-ID" w:eastAsia="id-ID"/>
        </w:rPr>
        <w:drawing>
          <wp:inline distT="0" distB="0" distL="0" distR="0" wp14:anchorId="60CB8CD4" wp14:editId="7BE69779">
            <wp:extent cx="2807970" cy="1975485"/>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24" cstate="print"/>
                    <a:stretch>
                      <a:fillRect/>
                    </a:stretch>
                  </pic:blipFill>
                  <pic:spPr bwMode="auto">
                    <a:xfrm>
                      <a:off x="0" y="0"/>
                      <a:ext cx="2807970" cy="1975485"/>
                    </a:xfrm>
                    <a:prstGeom prst="rect">
                      <a:avLst/>
                    </a:prstGeom>
                    <a:noFill/>
                  </pic:spPr>
                </pic:pic>
              </a:graphicData>
            </a:graphic>
          </wp:inline>
        </w:drawing>
      </w:r>
    </w:p>
    <w:p w14:paraId="46C078B5" w14:textId="26C0C4C1"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11</w:t>
      </w:r>
      <w:r w:rsidR="00F51085">
        <w:rPr>
          <w:iCs/>
          <w:color w:val="000000"/>
          <w:szCs w:val="20"/>
        </w:rPr>
        <w:fldChar w:fldCharType="end"/>
      </w:r>
      <w:r>
        <w:rPr>
          <w:iCs/>
          <w:color w:val="000000"/>
          <w:szCs w:val="20"/>
        </w:rPr>
        <w:t>. The free heap graph of the agent (with SSL enabled)</w:t>
      </w:r>
    </w:p>
    <w:p w14:paraId="60E3872D" w14:textId="77777777" w:rsidR="00F51085" w:rsidRDefault="007C4D6B">
      <w:pPr>
        <w:pStyle w:val="BodyText"/>
      </w:pPr>
      <w:r>
        <w:t xml:space="preserve">However, when SSL mode is enabled, the average remaining memory decreases to 122KB, as depicted in Figure 11. This reduction of approximately 53KB indicates that SSL encryption requires significant memory allocation. Although this decrease does not impact the agent's performance in executing its basic functions, it necessitates consideration for the development of advanced features in the future. The remaining memory will influence the feasibility of implementing advanced features at the edge, embedded directly within the agent, such as machine learning models for predictive maintenance purposes. Machine learning models, particularly those based on deep learning, require substantial memory for efficient operation. Since the connection between agents occurs on a local network, security at the Data Link Layer (Layer 2 in the OSI Model) can be used as a solution to mitigate security threats. For instance, agents can secure their communication using the WPA2-PSK encryption standard. </w:t>
      </w:r>
    </w:p>
    <w:p w14:paraId="13C5B7DF" w14:textId="77777777" w:rsidR="00F51085" w:rsidRDefault="007C4D6B">
      <w:pPr>
        <w:spacing w:after="120"/>
        <w:rPr>
          <w:iCs/>
          <w:color w:val="000000"/>
          <w:szCs w:val="20"/>
        </w:rPr>
      </w:pPr>
      <w:r>
        <w:rPr>
          <w:iCs/>
          <w:color w:val="000000"/>
          <w:szCs w:val="20"/>
        </w:rPr>
        <w:t xml:space="preserve">Therefore, memory usage optimization is necessary to enable the UDAWA Gadadar agent to accommodate these advanced features. One optimization strategy that can be implemented is disabling SSL encryption on the edge side when the agent communicates with tier 2. This strategy is feasible because communication between the agent and tier 2 occurs within a relatively secure local network. Security can be strengthened by implementing additional security protocols at the WiFi network level, such as WPA3 encryption and access control lists. SSL connection is only mandatory if the agent connects directly to the tier 3 level via the internet. By eliminating SSL on the edge side, the remaining memory can be allocated to run machine learning models, allowing the UDAWA Gadadar agent to provide services such as predictive maintenance that can assist farmers in preventing instrument damage and reducing maintenance costs. Ultimately, a non-decreasing line graph over a comprehensive testing period proves that the device is free from memory leaks. </w:t>
      </w:r>
      <w:r>
        <w:t>To ensure proper integration between the sensors and actuators within the UDAWA Gadadar system, we conducted comprehensive testing on the sensor's data reading capabilities and actuator control. The primary focus of this testing was to validate the sensor's performance in accurately recording data and the actuator's ability to respond precisely to control commands.</w:t>
      </w:r>
    </w:p>
    <w:p w14:paraId="232B966B" w14:textId="77777777" w:rsidR="00F51085" w:rsidRDefault="007C4D6B">
      <w:pPr>
        <w:pStyle w:val="BodyText"/>
      </w:pPr>
      <w:r>
        <w:rPr>
          <w:noProof/>
          <w:lang w:val="id-ID" w:eastAsia="id-ID"/>
        </w:rPr>
        <w:drawing>
          <wp:inline distT="0" distB="0" distL="0" distR="0" wp14:anchorId="584E03D4" wp14:editId="43F5B40E">
            <wp:extent cx="2807970" cy="233997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25" cstate="print"/>
                    <a:stretch>
                      <a:fillRect/>
                    </a:stretch>
                  </pic:blipFill>
                  <pic:spPr bwMode="auto">
                    <a:xfrm>
                      <a:off x="0" y="0"/>
                      <a:ext cx="2807970" cy="2339975"/>
                    </a:xfrm>
                    <a:prstGeom prst="rect">
                      <a:avLst/>
                    </a:prstGeom>
                    <a:noFill/>
                  </pic:spPr>
                </pic:pic>
              </a:graphicData>
            </a:graphic>
          </wp:inline>
        </w:drawing>
      </w:r>
    </w:p>
    <w:p w14:paraId="5A364762" w14:textId="30C57468"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12</w:t>
      </w:r>
      <w:r w:rsidR="00F51085">
        <w:rPr>
          <w:iCs/>
          <w:color w:val="000000"/>
          <w:szCs w:val="20"/>
        </w:rPr>
        <w:fldChar w:fldCharType="end"/>
      </w:r>
      <w:r>
        <w:rPr>
          <w:iCs/>
          <w:color w:val="000000"/>
          <w:szCs w:val="20"/>
        </w:rPr>
        <w:t>. The amperage data from the sensor reading test</w:t>
      </w:r>
    </w:p>
    <w:p w14:paraId="6F5D6380" w14:textId="77777777" w:rsidR="00F51085" w:rsidRDefault="007C4D6B">
      <w:pPr>
        <w:pStyle w:val="BodyText"/>
      </w:pPr>
      <w:r>
        <w:t>Figure 12 presents historical data of the electrical current readings driving the fertigation pump. The data indicates that the current sensor on the UDAWA Gadadar agent is capable of recording current ratings that align with the pump's specifications. Minor fluctuations observed in the data are attributed to environmental factors such as temperature variations and pressure changes within the fertigation pipeline. Although the PZEM-004T sensor utilized in this research can measure various other electrical parameters, including voltage, active power, power factor, and frequency, the amperage value is considered sufficiently representative for evaluating sensor performance. The results of this test confirm that the sensor functions correctly and provides validated data as the same as the power rating of the pump.</w:t>
      </w:r>
    </w:p>
    <w:p w14:paraId="6CBF0ABA" w14:textId="77777777" w:rsidR="00F51085" w:rsidRDefault="007C4D6B">
      <w:pPr>
        <w:pStyle w:val="BodyText"/>
      </w:pPr>
      <w:r>
        <w:t>Figure 13 illustrates the switching history of the relay channels from on to off states and vice versa. This data, collected since the initial stages of prototype development, clearly demonstrates the precise activation and deactivation of each relay channel. Status changes on the relay channels within the web interface are consistently reflected in the corresponding physical relays. This test result validates the capability of the UDAWA Gadadar agent to reliably control the relay actuators.</w:t>
      </w:r>
    </w:p>
    <w:p w14:paraId="780B6AB1" w14:textId="77777777" w:rsidR="00F51085" w:rsidRDefault="007C4D6B">
      <w:pPr>
        <w:pStyle w:val="BodyText"/>
      </w:pPr>
      <w:r>
        <w:rPr>
          <w:noProof/>
          <w:lang w:val="id-ID" w:eastAsia="id-ID"/>
        </w:rPr>
        <w:drawing>
          <wp:inline distT="0" distB="0" distL="0" distR="0" wp14:anchorId="44096756" wp14:editId="37CE1773">
            <wp:extent cx="2807970" cy="2101850"/>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26" cstate="print"/>
                    <a:stretch>
                      <a:fillRect/>
                    </a:stretch>
                  </pic:blipFill>
                  <pic:spPr bwMode="auto">
                    <a:xfrm>
                      <a:off x="0" y="0"/>
                      <a:ext cx="2807970" cy="2101850"/>
                    </a:xfrm>
                    <a:prstGeom prst="rect">
                      <a:avLst/>
                    </a:prstGeom>
                    <a:noFill/>
                  </pic:spPr>
                </pic:pic>
              </a:graphicData>
            </a:graphic>
          </wp:inline>
        </w:drawing>
      </w:r>
    </w:p>
    <w:p w14:paraId="69090282" w14:textId="74B087F4" w:rsidR="00F51085" w:rsidRDefault="007C4D6B">
      <w:pPr>
        <w:pStyle w:val="Caption"/>
        <w:spacing w:after="120"/>
      </w:pPr>
      <w:r>
        <w:rPr>
          <w:iCs/>
          <w:color w:val="000000"/>
          <w:szCs w:val="20"/>
        </w:rPr>
        <w:t xml:space="preserve">Figure </w:t>
      </w:r>
      <w:r w:rsidR="00F51085">
        <w:rPr>
          <w:iCs/>
          <w:color w:val="000000"/>
          <w:szCs w:val="20"/>
        </w:rPr>
        <w:fldChar w:fldCharType="begin"/>
      </w:r>
      <w:r>
        <w:rPr>
          <w:iCs/>
          <w:color w:val="000000"/>
          <w:szCs w:val="20"/>
        </w:rPr>
        <w:instrText xml:space="preserve"> SEQ Gambar \* ARABIC </w:instrText>
      </w:r>
      <w:r w:rsidR="00F51085">
        <w:rPr>
          <w:iCs/>
          <w:color w:val="000000"/>
          <w:szCs w:val="20"/>
        </w:rPr>
        <w:fldChar w:fldCharType="separate"/>
      </w:r>
      <w:r w:rsidR="00C8313A">
        <w:rPr>
          <w:iCs/>
          <w:noProof/>
          <w:color w:val="000000"/>
          <w:szCs w:val="20"/>
        </w:rPr>
        <w:t>13</w:t>
      </w:r>
      <w:r w:rsidR="00F51085">
        <w:rPr>
          <w:iCs/>
          <w:color w:val="000000"/>
          <w:szCs w:val="20"/>
        </w:rPr>
        <w:fldChar w:fldCharType="end"/>
      </w:r>
      <w:r>
        <w:rPr>
          <w:iCs/>
          <w:color w:val="000000"/>
          <w:szCs w:val="20"/>
        </w:rPr>
        <w:t>. The sampled data from relay channel switching test</w:t>
      </w:r>
    </w:p>
    <w:p w14:paraId="19B218F5" w14:textId="77777777" w:rsidR="00F51085" w:rsidRDefault="007C4D6B">
      <w:pPr>
        <w:pStyle w:val="BodyText"/>
      </w:pPr>
      <w:r>
        <w:t>The data generated from the power sensor features and relay control patterns, as depicted in Figures 12 and 13, hold significant potential for further analysis. This analysis can be utilized to develop more effective predictive control and monitoring models for future greenhouse instruments. The utilization of historical data and operational patterns of the instruments enables the optimization of performance, energy efficiency, and predictive maintenance strategies, ultimately enhancing productivity and sustainability in greenhouse farming endeavors.</w:t>
      </w:r>
    </w:p>
    <w:p w14:paraId="60743FC6" w14:textId="1A24D6E0" w:rsidR="00F51085" w:rsidRDefault="007C4D6B">
      <w:pPr>
        <w:pStyle w:val="BodyText"/>
      </w:pPr>
      <w:r>
        <w:t>To conclude the analysis of the prototype's performance and cost, a comprehensive calculation of the procurement cost for all components required to assemble one unit of the UDAWA Gadadar agent was conducted, as presented in Table 2. This calculation aims to provide small-scale farmers with insights into the financial feasibility of implementing the proposed digitalization solution. The results indicate that the total component cost for a single UDAWA Gadadar agent unit, operable at tier 1 (greenhouse level), amounts to USD 33.7.</w:t>
      </w:r>
    </w:p>
    <w:p w14:paraId="64CF31C6" w14:textId="77777777" w:rsidR="007148AE" w:rsidRDefault="007148AE" w:rsidP="007148AE">
      <w:pPr>
        <w:pStyle w:val="BodyText"/>
        <w:spacing w:before="120"/>
      </w:pPr>
      <w:r>
        <w:t>It is important to note that this cost does not include component shipping and assembly services, which may vary depending on the location and service provider, including the cost of setting up a WiFi network in the farmer's garden if the farmer does not already have one. Nevertheless, this figure indicates that the component procurement cost for one unit of the UDAWA Gadadar agent is relatively affordable, especially when compared to the investment cost for agricultural digitalization solutions that generally target industrial-scale farmers.</w:t>
      </w:r>
    </w:p>
    <w:p w14:paraId="1B9D74DC" w14:textId="0C0E8F6C" w:rsidR="00D4224D" w:rsidRDefault="00D4224D" w:rsidP="00D4224D">
      <w:pPr>
        <w:pStyle w:val="Caption"/>
        <w:spacing w:after="120"/>
      </w:pPr>
      <w:r>
        <w:rPr>
          <w:iCs/>
          <w:color w:val="000000"/>
          <w:szCs w:val="20"/>
        </w:rPr>
        <w:t xml:space="preserve">Table </w:t>
      </w:r>
      <w:r>
        <w:rPr>
          <w:iCs/>
          <w:color w:val="000000"/>
          <w:szCs w:val="20"/>
        </w:rPr>
        <w:fldChar w:fldCharType="begin"/>
      </w:r>
      <w:r>
        <w:rPr>
          <w:iCs/>
          <w:color w:val="000000"/>
          <w:szCs w:val="20"/>
        </w:rPr>
        <w:instrText xml:space="preserve"> SEQ Tabel_ \* ARABIC </w:instrText>
      </w:r>
      <w:r>
        <w:rPr>
          <w:iCs/>
          <w:color w:val="000000"/>
          <w:szCs w:val="20"/>
        </w:rPr>
        <w:fldChar w:fldCharType="separate"/>
      </w:r>
      <w:r w:rsidR="00C8313A">
        <w:rPr>
          <w:iCs/>
          <w:noProof/>
          <w:color w:val="000000"/>
          <w:szCs w:val="20"/>
        </w:rPr>
        <w:t>2</w:t>
      </w:r>
      <w:r>
        <w:rPr>
          <w:iCs/>
          <w:color w:val="000000"/>
          <w:szCs w:val="20"/>
        </w:rPr>
        <w:fldChar w:fldCharType="end"/>
      </w:r>
      <w:r>
        <w:rPr>
          <w:iCs/>
          <w:color w:val="000000"/>
          <w:szCs w:val="20"/>
        </w:rPr>
        <w:t>.  Bill of material of the UDAWA Gadadar agent prototype (excluding shipping and assembly cost)</w:t>
      </w:r>
    </w:p>
    <w:tbl>
      <w:tblPr>
        <w:tblW w:w="4374" w:type="dxa"/>
        <w:jc w:val="center"/>
        <w:tblLayout w:type="fixed"/>
        <w:tblLook w:val="0000" w:firstRow="0" w:lastRow="0" w:firstColumn="0" w:lastColumn="0" w:noHBand="0" w:noVBand="0"/>
      </w:tblPr>
      <w:tblGrid>
        <w:gridCol w:w="3108"/>
        <w:gridCol w:w="455"/>
        <w:gridCol w:w="811"/>
      </w:tblGrid>
      <w:tr w:rsidR="00D4224D" w14:paraId="075C8FA3" w14:textId="77777777" w:rsidTr="002A68D8">
        <w:trPr>
          <w:jc w:val="center"/>
        </w:trPr>
        <w:tc>
          <w:tcPr>
            <w:tcW w:w="3108" w:type="dxa"/>
            <w:tcBorders>
              <w:top w:val="single" w:sz="12" w:space="0" w:color="000000"/>
              <w:bottom w:val="single" w:sz="4" w:space="0" w:color="000000"/>
            </w:tcBorders>
          </w:tcPr>
          <w:p w14:paraId="0298DB3E" w14:textId="77777777" w:rsidR="00D4224D" w:rsidRDefault="00D4224D" w:rsidP="002A68D8">
            <w:pPr>
              <w:pStyle w:val="TableCategories"/>
              <w:snapToGrid w:val="0"/>
              <w:rPr>
                <w:rFonts w:ascii="Times New Roman" w:hAnsi="Times New Roman"/>
                <w:color w:val="000000"/>
                <w:szCs w:val="16"/>
                <w:lang w:val="en-US"/>
              </w:rPr>
            </w:pPr>
            <w:r>
              <w:rPr>
                <w:rFonts w:ascii="Times New Roman" w:hAnsi="Times New Roman"/>
                <w:color w:val="000000"/>
                <w:szCs w:val="16"/>
                <w:lang w:val="en-US"/>
              </w:rPr>
              <w:t>Items</w:t>
            </w:r>
          </w:p>
        </w:tc>
        <w:tc>
          <w:tcPr>
            <w:tcW w:w="455" w:type="dxa"/>
            <w:tcBorders>
              <w:top w:val="single" w:sz="12" w:space="0" w:color="000000"/>
              <w:bottom w:val="single" w:sz="4" w:space="0" w:color="000000"/>
            </w:tcBorders>
          </w:tcPr>
          <w:p w14:paraId="3D1F794B" w14:textId="77777777" w:rsidR="00D4224D" w:rsidRDefault="00D4224D" w:rsidP="002A68D8">
            <w:pPr>
              <w:pStyle w:val="TableCategories"/>
              <w:snapToGrid w:val="0"/>
              <w:ind w:right="-84"/>
              <w:jc w:val="right"/>
              <w:rPr>
                <w:rFonts w:ascii="Times New Roman" w:hAnsi="Times New Roman"/>
                <w:color w:val="000000"/>
                <w:szCs w:val="16"/>
                <w:lang w:val="en-US"/>
              </w:rPr>
            </w:pPr>
            <w:r>
              <w:rPr>
                <w:rFonts w:ascii="Times New Roman" w:hAnsi="Times New Roman"/>
                <w:color w:val="000000"/>
                <w:szCs w:val="16"/>
                <w:lang w:val="en-US"/>
              </w:rPr>
              <w:t>Qty</w:t>
            </w:r>
          </w:p>
        </w:tc>
        <w:tc>
          <w:tcPr>
            <w:tcW w:w="811" w:type="dxa"/>
            <w:tcBorders>
              <w:top w:val="single" w:sz="12" w:space="0" w:color="000000"/>
              <w:bottom w:val="single" w:sz="4" w:space="0" w:color="000000"/>
            </w:tcBorders>
          </w:tcPr>
          <w:p w14:paraId="7B7D0CAF" w14:textId="77777777" w:rsidR="00D4224D" w:rsidRDefault="00D4224D" w:rsidP="002A68D8">
            <w:pPr>
              <w:pStyle w:val="TableCategories"/>
              <w:snapToGrid w:val="0"/>
              <w:jc w:val="right"/>
              <w:rPr>
                <w:rFonts w:ascii="Times New Roman" w:hAnsi="Times New Roman"/>
                <w:color w:val="000000"/>
                <w:szCs w:val="16"/>
                <w:lang w:val="en-US"/>
              </w:rPr>
            </w:pPr>
            <w:r>
              <w:rPr>
                <w:rFonts w:ascii="Times New Roman" w:hAnsi="Times New Roman"/>
                <w:color w:val="000000"/>
                <w:szCs w:val="16"/>
                <w:lang w:val="en-US"/>
              </w:rPr>
              <w:t>Total Price (USD)</w:t>
            </w:r>
          </w:p>
        </w:tc>
      </w:tr>
      <w:tr w:rsidR="00D4224D" w14:paraId="0B54FB1D" w14:textId="77777777" w:rsidTr="002A68D8">
        <w:trPr>
          <w:jc w:val="center"/>
        </w:trPr>
        <w:tc>
          <w:tcPr>
            <w:tcW w:w="3108" w:type="dxa"/>
            <w:tcBorders>
              <w:top w:val="single" w:sz="4" w:space="0" w:color="000000"/>
            </w:tcBorders>
          </w:tcPr>
          <w:p w14:paraId="04FF0FA6" w14:textId="77777777" w:rsidR="00D4224D" w:rsidRDefault="00D4224D" w:rsidP="002A68D8">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ESP32 DevKitC 32U</w:t>
            </w:r>
          </w:p>
        </w:tc>
        <w:tc>
          <w:tcPr>
            <w:tcW w:w="455" w:type="dxa"/>
            <w:tcBorders>
              <w:top w:val="single" w:sz="4" w:space="0" w:color="000000"/>
            </w:tcBorders>
          </w:tcPr>
          <w:p w14:paraId="480805F5" w14:textId="77777777" w:rsidR="00D4224D" w:rsidRDefault="00D4224D" w:rsidP="002A68D8">
            <w:pPr>
              <w:pStyle w:val="TableCaption"/>
              <w:snapToGrid w:val="0"/>
              <w:jc w:val="right"/>
              <w:rPr>
                <w:rFonts w:ascii="Times New Roman" w:hAnsi="Times New Roman"/>
                <w:color w:val="000000"/>
                <w:szCs w:val="16"/>
                <w:lang w:val="en-US"/>
              </w:rPr>
            </w:pPr>
            <w:r>
              <w:rPr>
                <w:rFonts w:ascii="Times New Roman" w:hAnsi="Times New Roman"/>
                <w:color w:val="000000"/>
                <w:szCs w:val="16"/>
                <w:lang w:val="en-US"/>
              </w:rPr>
              <w:t>1</w:t>
            </w:r>
          </w:p>
        </w:tc>
        <w:tc>
          <w:tcPr>
            <w:tcW w:w="811" w:type="dxa"/>
            <w:tcBorders>
              <w:top w:val="single" w:sz="4" w:space="0" w:color="000000"/>
            </w:tcBorders>
          </w:tcPr>
          <w:p w14:paraId="76D959BF" w14:textId="77777777" w:rsidR="00D4224D" w:rsidRDefault="00D4224D" w:rsidP="002A68D8">
            <w:pPr>
              <w:pStyle w:val="TableCaption"/>
              <w:snapToGrid w:val="0"/>
              <w:jc w:val="right"/>
              <w:rPr>
                <w:rFonts w:ascii="Times New Roman" w:hAnsi="Times New Roman"/>
                <w:color w:val="000000"/>
                <w:szCs w:val="16"/>
                <w:lang w:val="en-US"/>
              </w:rPr>
            </w:pPr>
            <w:r>
              <w:rPr>
                <w:rFonts w:ascii="Times New Roman" w:hAnsi="Times New Roman"/>
                <w:color w:val="000000"/>
                <w:szCs w:val="16"/>
                <w:lang w:val="en-US"/>
              </w:rPr>
              <w:t>5</w:t>
            </w:r>
          </w:p>
        </w:tc>
      </w:tr>
      <w:tr w:rsidR="00D4224D" w14:paraId="5CBA907B" w14:textId="77777777" w:rsidTr="002A68D8">
        <w:trPr>
          <w:jc w:val="center"/>
        </w:trPr>
        <w:tc>
          <w:tcPr>
            <w:tcW w:w="3108" w:type="dxa"/>
          </w:tcPr>
          <w:p w14:paraId="56322B6D" w14:textId="77777777" w:rsidR="00D4224D" w:rsidRDefault="00D4224D" w:rsidP="002A68D8">
            <w:pPr>
              <w:pStyle w:val="TableCaption"/>
              <w:snapToGrid w:val="0"/>
              <w:jc w:val="left"/>
              <w:rPr>
                <w:rFonts w:ascii="Times New Roman" w:hAnsi="Times New Roman"/>
                <w:color w:val="000000"/>
                <w:szCs w:val="16"/>
                <w:lang w:val="en-US"/>
              </w:rPr>
            </w:pPr>
            <w:r>
              <w:rPr>
                <w:rFonts w:ascii="Times New Roman" w:hAnsi="Times New Roman"/>
                <w:color w:val="000000"/>
                <w:szCs w:val="16"/>
                <w:lang w:val="en-US"/>
              </w:rPr>
              <w:t>Bidirectional Logic Level Converter 5-3v3</w:t>
            </w:r>
          </w:p>
        </w:tc>
        <w:tc>
          <w:tcPr>
            <w:tcW w:w="455" w:type="dxa"/>
          </w:tcPr>
          <w:p w14:paraId="5DB8CEA9" w14:textId="77777777" w:rsidR="00D4224D" w:rsidRDefault="00D4224D" w:rsidP="002A68D8">
            <w:pPr>
              <w:pStyle w:val="TableCaption"/>
              <w:snapToGrid w:val="0"/>
              <w:jc w:val="right"/>
              <w:rPr>
                <w:rFonts w:ascii="Times New Roman" w:hAnsi="Times New Roman"/>
                <w:color w:val="000000"/>
                <w:szCs w:val="16"/>
                <w:lang w:val="en-US"/>
              </w:rPr>
            </w:pPr>
            <w:r>
              <w:rPr>
                <w:rFonts w:ascii="Times New Roman" w:hAnsi="Times New Roman"/>
                <w:color w:val="000000"/>
                <w:szCs w:val="16"/>
                <w:lang w:val="en-US"/>
              </w:rPr>
              <w:t>1</w:t>
            </w:r>
          </w:p>
        </w:tc>
        <w:tc>
          <w:tcPr>
            <w:tcW w:w="811" w:type="dxa"/>
          </w:tcPr>
          <w:p w14:paraId="15DD0FF9" w14:textId="77777777" w:rsidR="00D4224D" w:rsidRDefault="00D4224D" w:rsidP="002A68D8">
            <w:pPr>
              <w:pStyle w:val="TableCaption"/>
              <w:snapToGrid w:val="0"/>
              <w:jc w:val="right"/>
              <w:rPr>
                <w:rFonts w:ascii="Times New Roman" w:hAnsi="Times New Roman"/>
                <w:color w:val="000000"/>
                <w:szCs w:val="16"/>
                <w:lang w:val="en-US"/>
              </w:rPr>
            </w:pPr>
            <w:r>
              <w:rPr>
                <w:rFonts w:ascii="Times New Roman" w:hAnsi="Times New Roman"/>
                <w:color w:val="000000"/>
                <w:szCs w:val="16"/>
                <w:lang w:val="en-US"/>
              </w:rPr>
              <w:t>0.5</w:t>
            </w:r>
          </w:p>
        </w:tc>
      </w:tr>
      <w:tr w:rsidR="00D4224D" w14:paraId="6C0E3163" w14:textId="77777777" w:rsidTr="002A68D8">
        <w:trPr>
          <w:jc w:val="center"/>
        </w:trPr>
        <w:tc>
          <w:tcPr>
            <w:tcW w:w="3108" w:type="dxa"/>
          </w:tcPr>
          <w:p w14:paraId="7C45B465" w14:textId="77777777" w:rsidR="00D4224D" w:rsidRDefault="00D4224D" w:rsidP="002A68D8">
            <w:pPr>
              <w:pStyle w:val="tablecopy"/>
              <w:widowControl w:val="0"/>
              <w:jc w:val="left"/>
            </w:pPr>
            <w:r>
              <w:t>Surface Finish PCB 10x10Cm</w:t>
            </w:r>
          </w:p>
        </w:tc>
        <w:tc>
          <w:tcPr>
            <w:tcW w:w="455" w:type="dxa"/>
          </w:tcPr>
          <w:p w14:paraId="19266E3F"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72601B8F"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r>
      <w:tr w:rsidR="00D4224D" w14:paraId="572CC1D9" w14:textId="77777777" w:rsidTr="002A68D8">
        <w:trPr>
          <w:jc w:val="center"/>
        </w:trPr>
        <w:tc>
          <w:tcPr>
            <w:tcW w:w="3108" w:type="dxa"/>
          </w:tcPr>
          <w:p w14:paraId="7789874A" w14:textId="77777777" w:rsidR="00D4224D" w:rsidRDefault="00D4224D" w:rsidP="002A68D8">
            <w:pPr>
              <w:pStyle w:val="TableCaption"/>
              <w:snapToGrid w:val="0"/>
              <w:jc w:val="left"/>
              <w:rPr>
                <w:rFonts w:ascii="Times New Roman" w:hAnsi="Times New Roman"/>
              </w:rPr>
            </w:pPr>
            <w:r>
              <w:rPr>
                <w:rFonts w:ascii="Times New Roman" w:hAnsi="Times New Roman"/>
              </w:rPr>
              <w:t>3D printer case PLA+ 2.0 22x21mm</w:t>
            </w:r>
          </w:p>
        </w:tc>
        <w:tc>
          <w:tcPr>
            <w:tcW w:w="455" w:type="dxa"/>
          </w:tcPr>
          <w:p w14:paraId="72182A79"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24226942" w14:textId="77777777" w:rsidR="00D4224D" w:rsidRDefault="00D4224D" w:rsidP="002A68D8">
            <w:pPr>
              <w:pStyle w:val="TableCaption"/>
              <w:snapToGrid w:val="0"/>
              <w:jc w:val="right"/>
              <w:rPr>
                <w:rFonts w:ascii="Times New Roman" w:hAnsi="Times New Roman"/>
              </w:rPr>
            </w:pPr>
            <w:r>
              <w:rPr>
                <w:rFonts w:ascii="Times New Roman" w:hAnsi="Times New Roman"/>
              </w:rPr>
              <w:t>5</w:t>
            </w:r>
          </w:p>
        </w:tc>
      </w:tr>
      <w:tr w:rsidR="00D4224D" w14:paraId="516C47D7" w14:textId="77777777" w:rsidTr="002A68D8">
        <w:trPr>
          <w:jc w:val="center"/>
        </w:trPr>
        <w:tc>
          <w:tcPr>
            <w:tcW w:w="3108" w:type="dxa"/>
          </w:tcPr>
          <w:p w14:paraId="6B157680" w14:textId="77777777" w:rsidR="00D4224D" w:rsidRDefault="00D4224D" w:rsidP="002A68D8">
            <w:pPr>
              <w:pStyle w:val="TableCaption"/>
              <w:snapToGrid w:val="0"/>
              <w:jc w:val="left"/>
              <w:rPr>
                <w:rFonts w:ascii="Times New Roman" w:hAnsi="Times New Roman"/>
              </w:rPr>
            </w:pPr>
            <w:r>
              <w:rPr>
                <w:rFonts w:ascii="Times New Roman" w:hAnsi="Times New Roman"/>
              </w:rPr>
              <w:t>8dBi 2.4GHz SMA Antenna</w:t>
            </w:r>
          </w:p>
        </w:tc>
        <w:tc>
          <w:tcPr>
            <w:tcW w:w="455" w:type="dxa"/>
          </w:tcPr>
          <w:p w14:paraId="316FF015"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2E5A188B" w14:textId="77777777" w:rsidR="00D4224D" w:rsidRDefault="00D4224D" w:rsidP="002A68D8">
            <w:pPr>
              <w:pStyle w:val="TableCaption"/>
              <w:snapToGrid w:val="0"/>
              <w:jc w:val="right"/>
              <w:rPr>
                <w:rFonts w:ascii="Times New Roman" w:hAnsi="Times New Roman"/>
              </w:rPr>
            </w:pPr>
            <w:r>
              <w:rPr>
                <w:rFonts w:ascii="Times New Roman" w:hAnsi="Times New Roman"/>
              </w:rPr>
              <w:t>0.9</w:t>
            </w:r>
          </w:p>
        </w:tc>
      </w:tr>
      <w:tr w:rsidR="00D4224D" w14:paraId="330A0DBB" w14:textId="77777777" w:rsidTr="002A68D8">
        <w:trPr>
          <w:jc w:val="center"/>
        </w:trPr>
        <w:tc>
          <w:tcPr>
            <w:tcW w:w="3108" w:type="dxa"/>
          </w:tcPr>
          <w:p w14:paraId="420CD78D" w14:textId="77777777" w:rsidR="00D4224D" w:rsidRDefault="00D4224D" w:rsidP="002A68D8">
            <w:pPr>
              <w:pStyle w:val="TableCaption"/>
              <w:snapToGrid w:val="0"/>
              <w:jc w:val="left"/>
              <w:rPr>
                <w:rFonts w:ascii="Times New Roman" w:hAnsi="Times New Roman"/>
              </w:rPr>
            </w:pPr>
            <w:r>
              <w:rPr>
                <w:rFonts w:ascii="Times New Roman" w:hAnsi="Times New Roman"/>
              </w:rPr>
              <w:t>RGB LED</w:t>
            </w:r>
          </w:p>
        </w:tc>
        <w:tc>
          <w:tcPr>
            <w:tcW w:w="455" w:type="dxa"/>
          </w:tcPr>
          <w:p w14:paraId="01B60AE7"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3FCCE8C1" w14:textId="77777777" w:rsidR="00D4224D" w:rsidRDefault="00D4224D" w:rsidP="002A68D8">
            <w:pPr>
              <w:pStyle w:val="TableCaption"/>
              <w:snapToGrid w:val="0"/>
              <w:jc w:val="right"/>
              <w:rPr>
                <w:rFonts w:ascii="Times New Roman" w:hAnsi="Times New Roman"/>
              </w:rPr>
            </w:pPr>
            <w:r>
              <w:rPr>
                <w:rFonts w:ascii="Times New Roman" w:hAnsi="Times New Roman"/>
              </w:rPr>
              <w:t>0.1</w:t>
            </w:r>
          </w:p>
        </w:tc>
      </w:tr>
      <w:tr w:rsidR="00D4224D" w14:paraId="5048870B" w14:textId="77777777" w:rsidTr="002A68D8">
        <w:trPr>
          <w:jc w:val="center"/>
        </w:trPr>
        <w:tc>
          <w:tcPr>
            <w:tcW w:w="3108" w:type="dxa"/>
          </w:tcPr>
          <w:p w14:paraId="23BD92B5" w14:textId="77777777" w:rsidR="00D4224D" w:rsidRDefault="00D4224D" w:rsidP="002A68D8">
            <w:pPr>
              <w:pStyle w:val="TableCaption"/>
              <w:snapToGrid w:val="0"/>
              <w:jc w:val="left"/>
              <w:rPr>
                <w:rFonts w:ascii="Times New Roman" w:hAnsi="Times New Roman"/>
              </w:rPr>
            </w:pPr>
            <w:r>
              <w:rPr>
                <w:rFonts w:ascii="Times New Roman" w:hAnsi="Times New Roman"/>
              </w:rPr>
              <w:t>Active buzzer</w:t>
            </w:r>
          </w:p>
        </w:tc>
        <w:tc>
          <w:tcPr>
            <w:tcW w:w="455" w:type="dxa"/>
          </w:tcPr>
          <w:p w14:paraId="3AB1E014"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54EE2D31" w14:textId="77777777" w:rsidR="00D4224D" w:rsidRDefault="00D4224D" w:rsidP="002A68D8">
            <w:pPr>
              <w:pStyle w:val="TableCaption"/>
              <w:snapToGrid w:val="0"/>
              <w:jc w:val="right"/>
              <w:rPr>
                <w:rFonts w:ascii="Times New Roman" w:hAnsi="Times New Roman"/>
              </w:rPr>
            </w:pPr>
            <w:r>
              <w:rPr>
                <w:rFonts w:ascii="Times New Roman" w:hAnsi="Times New Roman"/>
              </w:rPr>
              <w:t>0.2</w:t>
            </w:r>
          </w:p>
        </w:tc>
      </w:tr>
      <w:tr w:rsidR="00D4224D" w14:paraId="23AD18E1" w14:textId="77777777" w:rsidTr="002A68D8">
        <w:trPr>
          <w:jc w:val="center"/>
        </w:trPr>
        <w:tc>
          <w:tcPr>
            <w:tcW w:w="3108" w:type="dxa"/>
          </w:tcPr>
          <w:p w14:paraId="09718D76" w14:textId="77777777" w:rsidR="00D4224D" w:rsidRDefault="00D4224D" w:rsidP="002A68D8">
            <w:pPr>
              <w:pStyle w:val="TableCaption"/>
              <w:snapToGrid w:val="0"/>
              <w:jc w:val="left"/>
              <w:rPr>
                <w:rFonts w:ascii="Times New Roman" w:hAnsi="Times New Roman"/>
              </w:rPr>
            </w:pPr>
            <w:r>
              <w:rPr>
                <w:rFonts w:ascii="Times New Roman" w:hAnsi="Times New Roman"/>
              </w:rPr>
              <w:t>Power distribution block</w:t>
            </w:r>
          </w:p>
        </w:tc>
        <w:tc>
          <w:tcPr>
            <w:tcW w:w="455" w:type="dxa"/>
          </w:tcPr>
          <w:p w14:paraId="644CA0E3" w14:textId="77777777" w:rsidR="00D4224D" w:rsidRDefault="00D4224D" w:rsidP="002A68D8">
            <w:pPr>
              <w:pStyle w:val="TableCaption"/>
              <w:snapToGrid w:val="0"/>
              <w:jc w:val="right"/>
              <w:rPr>
                <w:rFonts w:ascii="Times New Roman" w:hAnsi="Times New Roman"/>
              </w:rPr>
            </w:pPr>
            <w:r>
              <w:rPr>
                <w:rFonts w:ascii="Times New Roman" w:hAnsi="Times New Roman"/>
              </w:rPr>
              <w:t>2</w:t>
            </w:r>
          </w:p>
        </w:tc>
        <w:tc>
          <w:tcPr>
            <w:tcW w:w="811" w:type="dxa"/>
          </w:tcPr>
          <w:p w14:paraId="6AC50711" w14:textId="77777777" w:rsidR="00D4224D" w:rsidRDefault="00D4224D" w:rsidP="002A68D8">
            <w:pPr>
              <w:pStyle w:val="TableCaption"/>
              <w:snapToGrid w:val="0"/>
              <w:jc w:val="right"/>
              <w:rPr>
                <w:rFonts w:ascii="Times New Roman" w:hAnsi="Times New Roman"/>
              </w:rPr>
            </w:pPr>
            <w:r>
              <w:rPr>
                <w:rFonts w:ascii="Times New Roman" w:hAnsi="Times New Roman"/>
              </w:rPr>
              <w:t>2.2</w:t>
            </w:r>
          </w:p>
        </w:tc>
      </w:tr>
      <w:tr w:rsidR="00D4224D" w14:paraId="21898F79" w14:textId="77777777" w:rsidTr="002A68D8">
        <w:trPr>
          <w:jc w:val="center"/>
        </w:trPr>
        <w:tc>
          <w:tcPr>
            <w:tcW w:w="3108" w:type="dxa"/>
          </w:tcPr>
          <w:p w14:paraId="42A03366" w14:textId="77777777" w:rsidR="00D4224D" w:rsidRDefault="00D4224D" w:rsidP="002A68D8">
            <w:pPr>
              <w:pStyle w:val="TableCaption"/>
              <w:snapToGrid w:val="0"/>
              <w:jc w:val="left"/>
              <w:rPr>
                <w:rFonts w:ascii="Times New Roman" w:hAnsi="Times New Roman"/>
              </w:rPr>
            </w:pPr>
            <w:r>
              <w:rPr>
                <w:rFonts w:ascii="Times New Roman" w:hAnsi="Times New Roman"/>
              </w:rPr>
              <w:t>MCB 6A 6KA</w:t>
            </w:r>
          </w:p>
        </w:tc>
        <w:tc>
          <w:tcPr>
            <w:tcW w:w="455" w:type="dxa"/>
          </w:tcPr>
          <w:p w14:paraId="16E0AAB9"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44022671" w14:textId="77777777" w:rsidR="00D4224D" w:rsidRDefault="00D4224D" w:rsidP="002A68D8">
            <w:pPr>
              <w:pStyle w:val="TableCaption"/>
              <w:snapToGrid w:val="0"/>
              <w:jc w:val="right"/>
              <w:rPr>
                <w:rFonts w:ascii="Times New Roman" w:hAnsi="Times New Roman"/>
              </w:rPr>
            </w:pPr>
            <w:r>
              <w:rPr>
                <w:rFonts w:ascii="Times New Roman" w:hAnsi="Times New Roman"/>
              </w:rPr>
              <w:t>2</w:t>
            </w:r>
          </w:p>
        </w:tc>
      </w:tr>
      <w:tr w:rsidR="00D4224D" w14:paraId="7BAAF14E" w14:textId="77777777" w:rsidTr="002A68D8">
        <w:trPr>
          <w:jc w:val="center"/>
        </w:trPr>
        <w:tc>
          <w:tcPr>
            <w:tcW w:w="3108" w:type="dxa"/>
          </w:tcPr>
          <w:p w14:paraId="3551E74E" w14:textId="77777777" w:rsidR="00D4224D" w:rsidRDefault="00D4224D" w:rsidP="002A68D8">
            <w:pPr>
              <w:pStyle w:val="TableCaption"/>
              <w:snapToGrid w:val="0"/>
              <w:jc w:val="left"/>
              <w:rPr>
                <w:rFonts w:ascii="Times New Roman" w:hAnsi="Times New Roman"/>
              </w:rPr>
            </w:pPr>
            <w:r>
              <w:rPr>
                <w:rFonts w:ascii="Times New Roman" w:hAnsi="Times New Roman"/>
              </w:rPr>
              <w:t>PZEM-004T with Current Transformer</w:t>
            </w:r>
          </w:p>
        </w:tc>
        <w:tc>
          <w:tcPr>
            <w:tcW w:w="455" w:type="dxa"/>
          </w:tcPr>
          <w:p w14:paraId="222366B7"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432849FB" w14:textId="77777777" w:rsidR="00D4224D" w:rsidRDefault="00D4224D" w:rsidP="002A68D8">
            <w:pPr>
              <w:pStyle w:val="TableCaption"/>
              <w:snapToGrid w:val="0"/>
              <w:jc w:val="right"/>
              <w:rPr>
                <w:rFonts w:ascii="Times New Roman" w:hAnsi="Times New Roman"/>
              </w:rPr>
            </w:pPr>
            <w:r>
              <w:rPr>
                <w:rFonts w:ascii="Times New Roman" w:hAnsi="Times New Roman"/>
              </w:rPr>
              <w:t>6.3</w:t>
            </w:r>
          </w:p>
        </w:tc>
      </w:tr>
      <w:tr w:rsidR="00D4224D" w14:paraId="308095B9" w14:textId="77777777" w:rsidTr="002A68D8">
        <w:trPr>
          <w:jc w:val="center"/>
        </w:trPr>
        <w:tc>
          <w:tcPr>
            <w:tcW w:w="3108" w:type="dxa"/>
          </w:tcPr>
          <w:p w14:paraId="67F83658" w14:textId="77777777" w:rsidR="00D4224D" w:rsidRDefault="00D4224D" w:rsidP="002A68D8">
            <w:pPr>
              <w:pStyle w:val="TableCaption"/>
              <w:snapToGrid w:val="0"/>
              <w:jc w:val="left"/>
              <w:rPr>
                <w:rFonts w:ascii="Times New Roman" w:hAnsi="Times New Roman"/>
              </w:rPr>
            </w:pPr>
            <w:r>
              <w:rPr>
                <w:rFonts w:ascii="Times New Roman" w:hAnsi="Times New Roman"/>
              </w:rPr>
              <w:t>DS3231 real-time clock module</w:t>
            </w:r>
          </w:p>
        </w:tc>
        <w:tc>
          <w:tcPr>
            <w:tcW w:w="455" w:type="dxa"/>
          </w:tcPr>
          <w:p w14:paraId="3849B54C"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7EBCEA97" w14:textId="77777777" w:rsidR="00D4224D" w:rsidRDefault="00D4224D" w:rsidP="002A68D8">
            <w:pPr>
              <w:pStyle w:val="TableCaption"/>
              <w:snapToGrid w:val="0"/>
              <w:jc w:val="right"/>
              <w:rPr>
                <w:rFonts w:ascii="Times New Roman" w:hAnsi="Times New Roman"/>
              </w:rPr>
            </w:pPr>
            <w:r>
              <w:rPr>
                <w:rFonts w:ascii="Times New Roman" w:hAnsi="Times New Roman"/>
              </w:rPr>
              <w:t>1.5</w:t>
            </w:r>
          </w:p>
        </w:tc>
      </w:tr>
      <w:tr w:rsidR="00D4224D" w14:paraId="33CB0777" w14:textId="77777777" w:rsidTr="002A68D8">
        <w:trPr>
          <w:jc w:val="center"/>
        </w:trPr>
        <w:tc>
          <w:tcPr>
            <w:tcW w:w="3108" w:type="dxa"/>
          </w:tcPr>
          <w:p w14:paraId="4FFC9F37" w14:textId="77777777" w:rsidR="00D4224D" w:rsidRDefault="00D4224D" w:rsidP="002A68D8">
            <w:pPr>
              <w:pStyle w:val="TableCaption"/>
              <w:snapToGrid w:val="0"/>
              <w:jc w:val="left"/>
              <w:rPr>
                <w:rFonts w:ascii="Times New Roman" w:hAnsi="Times New Roman"/>
              </w:rPr>
            </w:pPr>
            <w:r>
              <w:rPr>
                <w:rFonts w:ascii="Times New Roman" w:hAnsi="Times New Roman"/>
              </w:rPr>
              <w:t>Relay module 4 channel with optocoupler</w:t>
            </w:r>
          </w:p>
        </w:tc>
        <w:tc>
          <w:tcPr>
            <w:tcW w:w="455" w:type="dxa"/>
          </w:tcPr>
          <w:p w14:paraId="2974E5FC" w14:textId="77777777" w:rsidR="00D4224D" w:rsidRDefault="00D4224D" w:rsidP="002A68D8">
            <w:pPr>
              <w:pStyle w:val="TableCaption"/>
              <w:snapToGrid w:val="0"/>
              <w:jc w:val="right"/>
              <w:rPr>
                <w:rFonts w:ascii="Times New Roman" w:hAnsi="Times New Roman"/>
              </w:rPr>
            </w:pPr>
            <w:r>
              <w:rPr>
                <w:rFonts w:ascii="Times New Roman" w:hAnsi="Times New Roman"/>
              </w:rPr>
              <w:t>3.5</w:t>
            </w:r>
          </w:p>
        </w:tc>
        <w:tc>
          <w:tcPr>
            <w:tcW w:w="811" w:type="dxa"/>
          </w:tcPr>
          <w:p w14:paraId="04A7C8B2" w14:textId="77777777" w:rsidR="00D4224D" w:rsidRDefault="00D4224D" w:rsidP="002A68D8">
            <w:pPr>
              <w:pStyle w:val="TableCaption"/>
              <w:snapToGrid w:val="0"/>
              <w:jc w:val="right"/>
              <w:rPr>
                <w:rFonts w:ascii="Times New Roman" w:hAnsi="Times New Roman"/>
              </w:rPr>
            </w:pPr>
            <w:r>
              <w:rPr>
                <w:rFonts w:ascii="Times New Roman" w:hAnsi="Times New Roman"/>
              </w:rPr>
              <w:t>4</w:t>
            </w:r>
          </w:p>
        </w:tc>
      </w:tr>
      <w:tr w:rsidR="00D4224D" w14:paraId="5434DDC4" w14:textId="77777777" w:rsidTr="002A68D8">
        <w:trPr>
          <w:jc w:val="center"/>
        </w:trPr>
        <w:tc>
          <w:tcPr>
            <w:tcW w:w="3108" w:type="dxa"/>
          </w:tcPr>
          <w:p w14:paraId="0EEA3FEB" w14:textId="77777777" w:rsidR="00D4224D" w:rsidRDefault="00D4224D" w:rsidP="002A68D8">
            <w:pPr>
              <w:pStyle w:val="TableCaption"/>
              <w:snapToGrid w:val="0"/>
              <w:jc w:val="left"/>
              <w:rPr>
                <w:rFonts w:ascii="Times New Roman" w:hAnsi="Times New Roman"/>
              </w:rPr>
            </w:pPr>
            <w:r>
              <w:rPr>
                <w:rFonts w:ascii="Times New Roman" w:hAnsi="Times New Roman"/>
              </w:rPr>
              <w:t>2.5mm power cable 3.5 meters</w:t>
            </w:r>
          </w:p>
        </w:tc>
        <w:tc>
          <w:tcPr>
            <w:tcW w:w="455" w:type="dxa"/>
          </w:tcPr>
          <w:p w14:paraId="4BA2CC20" w14:textId="77777777" w:rsidR="00D4224D" w:rsidRDefault="00D4224D" w:rsidP="002A68D8">
            <w:pPr>
              <w:pStyle w:val="TableCaption"/>
              <w:snapToGrid w:val="0"/>
              <w:jc w:val="right"/>
              <w:rPr>
                <w:rFonts w:ascii="Times New Roman" w:hAnsi="Times New Roman"/>
              </w:rPr>
            </w:pPr>
          </w:p>
        </w:tc>
        <w:tc>
          <w:tcPr>
            <w:tcW w:w="811" w:type="dxa"/>
          </w:tcPr>
          <w:p w14:paraId="3F7DB27B" w14:textId="77777777" w:rsidR="00D4224D" w:rsidRDefault="00D4224D" w:rsidP="002A68D8">
            <w:pPr>
              <w:pStyle w:val="TableCaption"/>
              <w:snapToGrid w:val="0"/>
              <w:jc w:val="right"/>
              <w:rPr>
                <w:rFonts w:ascii="Times New Roman" w:hAnsi="Times New Roman"/>
              </w:rPr>
            </w:pPr>
          </w:p>
        </w:tc>
      </w:tr>
      <w:tr w:rsidR="00D4224D" w14:paraId="24D92EE3" w14:textId="77777777" w:rsidTr="002A68D8">
        <w:trPr>
          <w:jc w:val="center"/>
        </w:trPr>
        <w:tc>
          <w:tcPr>
            <w:tcW w:w="3108" w:type="dxa"/>
          </w:tcPr>
          <w:p w14:paraId="0B2C942E" w14:textId="77777777" w:rsidR="00D4224D" w:rsidRDefault="00D4224D" w:rsidP="002A68D8">
            <w:pPr>
              <w:pStyle w:val="TableCaption"/>
              <w:snapToGrid w:val="0"/>
              <w:jc w:val="left"/>
              <w:rPr>
                <w:rFonts w:ascii="Times New Roman" w:hAnsi="Times New Roman"/>
              </w:rPr>
            </w:pPr>
            <w:r>
              <w:rPr>
                <w:rFonts w:ascii="Times New Roman" w:hAnsi="Times New Roman"/>
              </w:rPr>
              <w:t>Electric plugs male power inlet</w:t>
            </w:r>
          </w:p>
        </w:tc>
        <w:tc>
          <w:tcPr>
            <w:tcW w:w="455" w:type="dxa"/>
          </w:tcPr>
          <w:p w14:paraId="483D525F"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738DE00C"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r>
      <w:tr w:rsidR="00D4224D" w14:paraId="44A2551B" w14:textId="77777777" w:rsidTr="002A68D8">
        <w:trPr>
          <w:jc w:val="center"/>
        </w:trPr>
        <w:tc>
          <w:tcPr>
            <w:tcW w:w="3108" w:type="dxa"/>
          </w:tcPr>
          <w:p w14:paraId="3AE87E20" w14:textId="77777777" w:rsidR="00D4224D" w:rsidRDefault="00D4224D" w:rsidP="002A68D8">
            <w:pPr>
              <w:pStyle w:val="TableCaption"/>
              <w:snapToGrid w:val="0"/>
              <w:jc w:val="left"/>
              <w:rPr>
                <w:rFonts w:ascii="Times New Roman" w:hAnsi="Times New Roman"/>
              </w:rPr>
            </w:pPr>
            <w:r>
              <w:rPr>
                <w:rFonts w:ascii="Times New Roman" w:hAnsi="Times New Roman"/>
              </w:rPr>
              <w:t>Hanging electric plugs female power outlet</w:t>
            </w:r>
          </w:p>
        </w:tc>
        <w:tc>
          <w:tcPr>
            <w:tcW w:w="455" w:type="dxa"/>
          </w:tcPr>
          <w:p w14:paraId="043B6C4B" w14:textId="77777777" w:rsidR="00D4224D" w:rsidRDefault="00D4224D" w:rsidP="002A68D8">
            <w:pPr>
              <w:pStyle w:val="TableCaption"/>
              <w:snapToGrid w:val="0"/>
              <w:jc w:val="right"/>
              <w:rPr>
                <w:rFonts w:ascii="Times New Roman" w:hAnsi="Times New Roman"/>
              </w:rPr>
            </w:pPr>
            <w:r>
              <w:rPr>
                <w:rFonts w:ascii="Times New Roman" w:hAnsi="Times New Roman"/>
              </w:rPr>
              <w:t>4</w:t>
            </w:r>
          </w:p>
        </w:tc>
        <w:tc>
          <w:tcPr>
            <w:tcW w:w="811" w:type="dxa"/>
          </w:tcPr>
          <w:p w14:paraId="76B6247A" w14:textId="77777777" w:rsidR="00D4224D" w:rsidRDefault="00D4224D" w:rsidP="002A68D8">
            <w:pPr>
              <w:pStyle w:val="TableCaption"/>
              <w:snapToGrid w:val="0"/>
              <w:jc w:val="right"/>
              <w:rPr>
                <w:rFonts w:ascii="Times New Roman" w:hAnsi="Times New Roman"/>
              </w:rPr>
            </w:pPr>
            <w:r>
              <w:rPr>
                <w:rFonts w:ascii="Times New Roman" w:hAnsi="Times New Roman"/>
              </w:rPr>
              <w:t>4</w:t>
            </w:r>
          </w:p>
        </w:tc>
      </w:tr>
      <w:tr w:rsidR="00D4224D" w14:paraId="4990B625" w14:textId="77777777" w:rsidTr="002A68D8">
        <w:trPr>
          <w:jc w:val="center"/>
        </w:trPr>
        <w:tc>
          <w:tcPr>
            <w:tcW w:w="3563" w:type="dxa"/>
            <w:gridSpan w:val="2"/>
          </w:tcPr>
          <w:p w14:paraId="22A7BF28" w14:textId="77777777" w:rsidR="00D4224D" w:rsidRDefault="00D4224D" w:rsidP="002A68D8">
            <w:pPr>
              <w:pStyle w:val="TableCaption"/>
              <w:snapToGrid w:val="0"/>
              <w:jc w:val="right"/>
              <w:rPr>
                <w:rFonts w:ascii="Times New Roman" w:hAnsi="Times New Roman"/>
              </w:rPr>
            </w:pPr>
            <w:r>
              <w:rPr>
                <w:rFonts w:ascii="Times New Roman" w:hAnsi="Times New Roman"/>
              </w:rPr>
              <w:t>Total components cost of tier 1 UDAWA Gadadar agent</w:t>
            </w:r>
          </w:p>
        </w:tc>
        <w:tc>
          <w:tcPr>
            <w:tcW w:w="811" w:type="dxa"/>
          </w:tcPr>
          <w:p w14:paraId="185D2CE9" w14:textId="77777777" w:rsidR="00D4224D" w:rsidRDefault="00D4224D" w:rsidP="002A68D8">
            <w:pPr>
              <w:pStyle w:val="TableCaption"/>
              <w:snapToGrid w:val="0"/>
              <w:jc w:val="right"/>
              <w:rPr>
                <w:rFonts w:ascii="Times New Roman" w:hAnsi="Times New Roman"/>
              </w:rPr>
            </w:pPr>
            <w:r>
              <w:rPr>
                <w:rFonts w:ascii="Times New Roman" w:hAnsi="Times New Roman"/>
              </w:rPr>
              <w:t>33.7</w:t>
            </w:r>
          </w:p>
        </w:tc>
      </w:tr>
      <w:tr w:rsidR="00D4224D" w14:paraId="47BF3F03" w14:textId="77777777" w:rsidTr="002A68D8">
        <w:trPr>
          <w:jc w:val="center"/>
        </w:trPr>
        <w:tc>
          <w:tcPr>
            <w:tcW w:w="3108" w:type="dxa"/>
          </w:tcPr>
          <w:p w14:paraId="4FA87891" w14:textId="77777777" w:rsidR="00D4224D" w:rsidRDefault="00D4224D" w:rsidP="002A68D8">
            <w:pPr>
              <w:pStyle w:val="TableCaption"/>
              <w:snapToGrid w:val="0"/>
              <w:jc w:val="left"/>
              <w:rPr>
                <w:rFonts w:ascii="Times New Roman" w:hAnsi="Times New Roman"/>
              </w:rPr>
            </w:pPr>
            <w:r>
              <w:rPr>
                <w:rFonts w:ascii="Times New Roman" w:hAnsi="Times New Roman"/>
              </w:rPr>
              <w:t>Raspberry Pi 5 SC1110 2GB RAM 4 Core</w:t>
            </w:r>
          </w:p>
        </w:tc>
        <w:tc>
          <w:tcPr>
            <w:tcW w:w="455" w:type="dxa"/>
          </w:tcPr>
          <w:p w14:paraId="0D262553"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0B72A20B" w14:textId="77777777" w:rsidR="00D4224D" w:rsidRDefault="00D4224D" w:rsidP="002A68D8">
            <w:pPr>
              <w:pStyle w:val="TableCaption"/>
              <w:snapToGrid w:val="0"/>
              <w:jc w:val="right"/>
              <w:rPr>
                <w:rFonts w:ascii="Times New Roman" w:hAnsi="Times New Roman"/>
              </w:rPr>
            </w:pPr>
            <w:r>
              <w:rPr>
                <w:rFonts w:ascii="Times New Roman" w:hAnsi="Times New Roman"/>
              </w:rPr>
              <w:t>50</w:t>
            </w:r>
          </w:p>
        </w:tc>
      </w:tr>
      <w:tr w:rsidR="00D4224D" w14:paraId="21849276" w14:textId="77777777" w:rsidTr="002A68D8">
        <w:trPr>
          <w:jc w:val="center"/>
        </w:trPr>
        <w:tc>
          <w:tcPr>
            <w:tcW w:w="3108" w:type="dxa"/>
          </w:tcPr>
          <w:p w14:paraId="0EE126B7" w14:textId="77777777" w:rsidR="00D4224D" w:rsidRDefault="00D4224D" w:rsidP="002A68D8">
            <w:pPr>
              <w:pStyle w:val="TableCaption"/>
              <w:snapToGrid w:val="0"/>
              <w:jc w:val="left"/>
              <w:rPr>
                <w:rFonts w:ascii="Times New Roman" w:hAnsi="Times New Roman"/>
              </w:rPr>
            </w:pPr>
            <w:r>
              <w:rPr>
                <w:rFonts w:ascii="Times New Roman" w:hAnsi="Times New Roman"/>
              </w:rPr>
              <w:t>Passive cooling case ED-PI5CASE-OS</w:t>
            </w:r>
          </w:p>
        </w:tc>
        <w:tc>
          <w:tcPr>
            <w:tcW w:w="455" w:type="dxa"/>
          </w:tcPr>
          <w:p w14:paraId="6E96FF0A"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31C30431" w14:textId="77777777" w:rsidR="00D4224D" w:rsidRDefault="00D4224D" w:rsidP="002A68D8">
            <w:pPr>
              <w:pStyle w:val="TableCaption"/>
              <w:snapToGrid w:val="0"/>
              <w:jc w:val="right"/>
              <w:rPr>
                <w:rFonts w:ascii="Times New Roman" w:hAnsi="Times New Roman"/>
              </w:rPr>
            </w:pPr>
            <w:r>
              <w:rPr>
                <w:rFonts w:ascii="Times New Roman" w:hAnsi="Times New Roman"/>
              </w:rPr>
              <w:t>7</w:t>
            </w:r>
          </w:p>
        </w:tc>
      </w:tr>
      <w:tr w:rsidR="00D4224D" w14:paraId="21F00700" w14:textId="77777777" w:rsidTr="002A68D8">
        <w:trPr>
          <w:jc w:val="center"/>
        </w:trPr>
        <w:tc>
          <w:tcPr>
            <w:tcW w:w="3108" w:type="dxa"/>
          </w:tcPr>
          <w:p w14:paraId="75F3775B" w14:textId="77777777" w:rsidR="00D4224D" w:rsidRDefault="00D4224D" w:rsidP="002A68D8">
            <w:pPr>
              <w:pStyle w:val="TableCaption"/>
              <w:snapToGrid w:val="0"/>
              <w:jc w:val="left"/>
              <w:rPr>
                <w:rFonts w:ascii="Times New Roman" w:hAnsi="Times New Roman"/>
              </w:rPr>
            </w:pPr>
            <w:r>
              <w:rPr>
                <w:rFonts w:ascii="Times New Roman" w:hAnsi="Times New Roman"/>
              </w:rPr>
              <w:t>27W USB-C PSU EU</w:t>
            </w:r>
          </w:p>
        </w:tc>
        <w:tc>
          <w:tcPr>
            <w:tcW w:w="455" w:type="dxa"/>
          </w:tcPr>
          <w:p w14:paraId="1836CAA2"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090863F9" w14:textId="77777777" w:rsidR="00D4224D" w:rsidRDefault="00D4224D" w:rsidP="002A68D8">
            <w:pPr>
              <w:pStyle w:val="TableCaption"/>
              <w:snapToGrid w:val="0"/>
              <w:jc w:val="right"/>
              <w:rPr>
                <w:rFonts w:ascii="Times New Roman" w:hAnsi="Times New Roman"/>
              </w:rPr>
            </w:pPr>
            <w:r>
              <w:rPr>
                <w:rFonts w:ascii="Times New Roman" w:hAnsi="Times New Roman"/>
              </w:rPr>
              <w:t>12</w:t>
            </w:r>
          </w:p>
        </w:tc>
      </w:tr>
      <w:tr w:rsidR="00D4224D" w14:paraId="4BBDC73A" w14:textId="77777777" w:rsidTr="002A68D8">
        <w:trPr>
          <w:jc w:val="center"/>
        </w:trPr>
        <w:tc>
          <w:tcPr>
            <w:tcW w:w="3108" w:type="dxa"/>
          </w:tcPr>
          <w:p w14:paraId="10493FAE" w14:textId="77777777" w:rsidR="00D4224D" w:rsidRDefault="00D4224D" w:rsidP="002A68D8">
            <w:pPr>
              <w:pStyle w:val="TableCaption"/>
              <w:snapToGrid w:val="0"/>
              <w:jc w:val="left"/>
              <w:rPr>
                <w:rFonts w:ascii="Times New Roman" w:hAnsi="Times New Roman"/>
              </w:rPr>
            </w:pPr>
            <w:r>
              <w:rPr>
                <w:rFonts w:ascii="Times New Roman" w:hAnsi="Times New Roman"/>
              </w:rPr>
              <w:t>Sandisk Ultra MicroSD 32GB</w:t>
            </w:r>
          </w:p>
        </w:tc>
        <w:tc>
          <w:tcPr>
            <w:tcW w:w="455" w:type="dxa"/>
          </w:tcPr>
          <w:p w14:paraId="651C9DEC"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Pr>
          <w:p w14:paraId="15E34AEB" w14:textId="77777777" w:rsidR="00D4224D" w:rsidRDefault="00D4224D" w:rsidP="002A68D8">
            <w:pPr>
              <w:pStyle w:val="TableCaption"/>
              <w:snapToGrid w:val="0"/>
              <w:jc w:val="right"/>
              <w:rPr>
                <w:rFonts w:ascii="Times New Roman" w:hAnsi="Times New Roman"/>
              </w:rPr>
            </w:pPr>
            <w:r>
              <w:rPr>
                <w:rFonts w:ascii="Times New Roman" w:hAnsi="Times New Roman"/>
              </w:rPr>
              <w:t>5</w:t>
            </w:r>
          </w:p>
        </w:tc>
      </w:tr>
      <w:tr w:rsidR="00D4224D" w14:paraId="246B44A2" w14:textId="77777777" w:rsidTr="002A68D8">
        <w:trPr>
          <w:jc w:val="center"/>
        </w:trPr>
        <w:tc>
          <w:tcPr>
            <w:tcW w:w="3563" w:type="dxa"/>
            <w:gridSpan w:val="2"/>
          </w:tcPr>
          <w:p w14:paraId="4A90DC34" w14:textId="77777777" w:rsidR="00D4224D" w:rsidRDefault="00D4224D" w:rsidP="002A68D8">
            <w:pPr>
              <w:pStyle w:val="TableCaption"/>
              <w:snapToGrid w:val="0"/>
              <w:jc w:val="right"/>
              <w:rPr>
                <w:rFonts w:ascii="Times New Roman" w:hAnsi="Times New Roman"/>
              </w:rPr>
            </w:pPr>
            <w:r>
              <w:rPr>
                <w:rFonts w:ascii="Times New Roman" w:hAnsi="Times New Roman"/>
              </w:rPr>
              <w:t>Total components cost of Tier 2  (up to100 devices)</w:t>
            </w:r>
          </w:p>
        </w:tc>
        <w:tc>
          <w:tcPr>
            <w:tcW w:w="811" w:type="dxa"/>
          </w:tcPr>
          <w:p w14:paraId="325C9274" w14:textId="77777777" w:rsidR="00D4224D" w:rsidRDefault="00D4224D" w:rsidP="002A68D8">
            <w:pPr>
              <w:pStyle w:val="TableCaption"/>
              <w:snapToGrid w:val="0"/>
              <w:jc w:val="right"/>
              <w:rPr>
                <w:rFonts w:ascii="Times New Roman" w:hAnsi="Times New Roman"/>
              </w:rPr>
            </w:pPr>
            <w:r>
              <w:rPr>
                <w:rFonts w:ascii="Times New Roman" w:hAnsi="Times New Roman"/>
              </w:rPr>
              <w:t>74</w:t>
            </w:r>
          </w:p>
        </w:tc>
      </w:tr>
      <w:tr w:rsidR="00D4224D" w14:paraId="52A1491F" w14:textId="77777777" w:rsidTr="002A68D8">
        <w:trPr>
          <w:jc w:val="center"/>
        </w:trPr>
        <w:tc>
          <w:tcPr>
            <w:tcW w:w="3108" w:type="dxa"/>
            <w:tcBorders>
              <w:bottom w:val="single" w:sz="4" w:space="0" w:color="000000"/>
            </w:tcBorders>
          </w:tcPr>
          <w:p w14:paraId="4234C22F" w14:textId="77777777" w:rsidR="00D4224D" w:rsidRDefault="00D4224D" w:rsidP="002A68D8">
            <w:pPr>
              <w:pStyle w:val="TableCaption"/>
              <w:snapToGrid w:val="0"/>
              <w:jc w:val="left"/>
              <w:rPr>
                <w:rFonts w:ascii="Times New Roman" w:hAnsi="Times New Roman"/>
              </w:rPr>
            </w:pPr>
            <w:r>
              <w:rPr>
                <w:rFonts w:ascii="Times New Roman" w:hAnsi="Times New Roman"/>
              </w:rPr>
              <w:t>Cloud virtual machine 1 vCPU 1GB RAM 25 GB storage (per month) for Tier 3 (up to 100 devices)</w:t>
            </w:r>
          </w:p>
        </w:tc>
        <w:tc>
          <w:tcPr>
            <w:tcW w:w="455" w:type="dxa"/>
            <w:tcBorders>
              <w:bottom w:val="single" w:sz="4" w:space="0" w:color="000000"/>
            </w:tcBorders>
          </w:tcPr>
          <w:p w14:paraId="7D0A5BEA" w14:textId="77777777" w:rsidR="00D4224D" w:rsidRDefault="00D4224D" w:rsidP="002A68D8">
            <w:pPr>
              <w:pStyle w:val="TableCaption"/>
              <w:snapToGrid w:val="0"/>
              <w:jc w:val="right"/>
              <w:rPr>
                <w:rFonts w:ascii="Times New Roman" w:hAnsi="Times New Roman"/>
              </w:rPr>
            </w:pPr>
            <w:r>
              <w:rPr>
                <w:rFonts w:ascii="Times New Roman" w:hAnsi="Times New Roman"/>
              </w:rPr>
              <w:t>1</w:t>
            </w:r>
          </w:p>
        </w:tc>
        <w:tc>
          <w:tcPr>
            <w:tcW w:w="811" w:type="dxa"/>
            <w:tcBorders>
              <w:bottom w:val="single" w:sz="4" w:space="0" w:color="000000"/>
            </w:tcBorders>
          </w:tcPr>
          <w:p w14:paraId="11750DDB" w14:textId="77777777" w:rsidR="00D4224D" w:rsidRDefault="00D4224D" w:rsidP="002A68D8">
            <w:pPr>
              <w:pStyle w:val="TableCaption"/>
              <w:snapToGrid w:val="0"/>
              <w:jc w:val="right"/>
              <w:rPr>
                <w:rFonts w:ascii="Times New Roman" w:hAnsi="Times New Roman"/>
              </w:rPr>
            </w:pPr>
            <w:r>
              <w:rPr>
                <w:rFonts w:ascii="Times New Roman" w:hAnsi="Times New Roman"/>
              </w:rPr>
              <w:t>6</w:t>
            </w:r>
          </w:p>
        </w:tc>
      </w:tr>
    </w:tbl>
    <w:p w14:paraId="5CC929B2" w14:textId="77777777" w:rsidR="00F51085" w:rsidRDefault="007C4D6B" w:rsidP="007148AE">
      <w:pPr>
        <w:pStyle w:val="BodyText"/>
        <w:spacing w:before="120"/>
      </w:pPr>
      <w:r>
        <w:t>Furthermore, we also analyzed the component procurement costs for tier 2 and tier 3 implementations of the UDAWA system. The tier 2 implementation allows farmers to perform data logging and further analysis of their entire greenhouse. This tier 2 requires additional infrastructure in the form of edge computing devices such as Raspberry Pi which are placed at the farm location and connected to all UDAWA Gadadar agents via a local network. The component procurement cost for this tier 2 is USD 74.</w:t>
      </w:r>
    </w:p>
    <w:p w14:paraId="2C517F49" w14:textId="77777777" w:rsidR="00F51085" w:rsidRDefault="007C4D6B">
      <w:pPr>
        <w:pStyle w:val="BodyText"/>
      </w:pPr>
      <w:r>
        <w:t>Meanwhile, tier 3 allows farmers to have global access via the internet to all their garden assets. This tier 3 is implemented using a cloud server that can be accessed from anywhere. The cloud server rental cost for this tier 3 is USD 6 per month. It should be emphasized that the cost calculation in tier 2 and tier 3 is carried out based on recom</w:t>
      </w:r>
      <w:r w:rsidR="00900F7D">
        <w:t xml:space="preserve">mendations from Thingsboard </w:t>
      </w:r>
      <w:bookmarkStart w:id="30" w:name="ZOTERO_BREF_6CfWoMJWiQbE"/>
      <w:r w:rsidR="00900F7D" w:rsidRPr="00900F7D">
        <w:t>[49]</w:t>
      </w:r>
      <w:bookmarkEnd w:id="30"/>
      <w:r>
        <w:t xml:space="preserve"> for minimum service coverage capable of serving up to 100 UDAWA Gadadar agent units and standard prices for virtual server specifications. Although farmers can use a free domain for their cloud server, additional costs may arise for renting a special domain if the farmer wants it.</w:t>
      </w:r>
    </w:p>
    <w:p w14:paraId="4D8CE365" w14:textId="77777777" w:rsidR="00F51085" w:rsidRDefault="007C4D6B">
      <w:pPr>
        <w:pStyle w:val="BodyText"/>
      </w:pPr>
      <w:r>
        <w:t>For small-scale farmers who have limited capital, cooperation with farmer groups can be a strategic alternative in reducing the investment cost burden in tier 2 or tier 3. By building infrastructure collectively, farmers can share access to data and information, and take advantage of the UDAWA system optimally at a more affordable cost.</w:t>
      </w:r>
    </w:p>
    <w:p w14:paraId="649F23E3" w14:textId="77777777" w:rsidR="00F51085" w:rsidRDefault="007C4D6B">
      <w:pPr>
        <w:pStyle w:val="Heading2"/>
        <w:spacing w:before="120" w:after="120"/>
        <w:rPr>
          <w:iCs/>
        </w:rPr>
      </w:pPr>
      <w:r>
        <w:rPr>
          <w:iCs/>
          <w:color w:val="000000"/>
          <w:szCs w:val="20"/>
        </w:rPr>
        <w:t>3.3 Multicase Study Analysis of System Design</w:t>
      </w:r>
    </w:p>
    <w:p w14:paraId="4830B992" w14:textId="77777777" w:rsidR="00F51085" w:rsidRDefault="007C4D6B">
      <w:pPr>
        <w:pStyle w:val="BodyText"/>
        <w:rPr>
          <w:color w:val="000000"/>
        </w:rPr>
      </w:pPr>
      <w:r>
        <w:rPr>
          <w:color w:val="000000"/>
        </w:rPr>
        <w:t>The research location in Pancasari Village, Buleleng Regency, Bali, demonstrates an interesting diversity in the implementation of small-scale greenhouses. Our field observations identified various types of greenhouses used for cultivating diverse commodities, ranging from vegetables such as lettuce and peppers to fruits like strawberries, operated under different business models, namely market gardener and agri-tourism farmer. This diversity provides a good opportunity to test the relevance of the UDAWA platform we have developed. To that end, we conducted a multicase study analysis with a decision matrix approach to evaluate how well our platform can be adopted in these various greenhouse models.</w:t>
      </w:r>
    </w:p>
    <w:p w14:paraId="104BE46B" w14:textId="77777777" w:rsidR="00F51085" w:rsidRDefault="007C4D6B">
      <w:pPr>
        <w:pStyle w:val="BodyText"/>
      </w:pPr>
      <w:r>
        <w:t>It is important to note that this multicase study analysis has limitations. The complexity of research in the early stages of UDAWA platform development, which demands a focus on completing technical aspects, limits us from conducting ideal validation involving direct feedback from farmers. Nevertheless, this decision matrix analysis still provides a valuable initial overview of the relevance and potential adoption of the UDAWA platform in various small-scale greenhouse models.</w:t>
      </w:r>
    </w:p>
    <w:p w14:paraId="2756B844" w14:textId="39FDDD0A" w:rsidR="00F51085" w:rsidRDefault="007C4D6B">
      <w:pPr>
        <w:pStyle w:val="Caption"/>
        <w:spacing w:after="120"/>
      </w:pPr>
      <w:r>
        <w:rPr>
          <w:iCs/>
          <w:color w:val="000000"/>
          <w:szCs w:val="20"/>
        </w:rPr>
        <w:t xml:space="preserve">Table </w:t>
      </w:r>
      <w:r w:rsidR="00F51085">
        <w:rPr>
          <w:iCs/>
          <w:color w:val="000000"/>
          <w:szCs w:val="20"/>
        </w:rPr>
        <w:fldChar w:fldCharType="begin"/>
      </w:r>
      <w:r>
        <w:rPr>
          <w:iCs/>
          <w:color w:val="000000"/>
          <w:szCs w:val="20"/>
        </w:rPr>
        <w:instrText xml:space="preserve"> SEQ Tabel_ \* ARABIC </w:instrText>
      </w:r>
      <w:r w:rsidR="00F51085">
        <w:rPr>
          <w:iCs/>
          <w:color w:val="000000"/>
          <w:szCs w:val="20"/>
        </w:rPr>
        <w:fldChar w:fldCharType="separate"/>
      </w:r>
      <w:r w:rsidR="00C8313A">
        <w:rPr>
          <w:iCs/>
          <w:noProof/>
          <w:color w:val="000000"/>
          <w:szCs w:val="20"/>
        </w:rPr>
        <w:t>3</w:t>
      </w:r>
      <w:r w:rsidR="00F51085">
        <w:rPr>
          <w:iCs/>
          <w:color w:val="000000"/>
          <w:szCs w:val="20"/>
        </w:rPr>
        <w:fldChar w:fldCharType="end"/>
      </w:r>
      <w:r>
        <w:rPr>
          <w:iCs/>
          <w:color w:val="000000"/>
          <w:szCs w:val="20"/>
        </w:rPr>
        <w:t>.  Raw score decision matrix for each greenhouse model</w:t>
      </w:r>
    </w:p>
    <w:tbl>
      <w:tblPr>
        <w:tblW w:w="4374" w:type="dxa"/>
        <w:jc w:val="center"/>
        <w:tblLayout w:type="fixed"/>
        <w:tblLook w:val="0000" w:firstRow="0" w:lastRow="0" w:firstColumn="0" w:lastColumn="0" w:noHBand="0" w:noVBand="0"/>
      </w:tblPr>
      <w:tblGrid>
        <w:gridCol w:w="734"/>
        <w:gridCol w:w="1188"/>
        <w:gridCol w:w="1317"/>
        <w:gridCol w:w="1135"/>
      </w:tblGrid>
      <w:tr w:rsidR="00F51085" w14:paraId="3C52F0A1" w14:textId="77777777">
        <w:trPr>
          <w:jc w:val="center"/>
        </w:trPr>
        <w:tc>
          <w:tcPr>
            <w:tcW w:w="733" w:type="dxa"/>
            <w:tcBorders>
              <w:top w:val="single" w:sz="12" w:space="0" w:color="000000"/>
              <w:bottom w:val="single" w:sz="4" w:space="0" w:color="000000"/>
            </w:tcBorders>
          </w:tcPr>
          <w:p w14:paraId="44E7C3F9"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GH Model</w:t>
            </w:r>
          </w:p>
        </w:tc>
        <w:tc>
          <w:tcPr>
            <w:tcW w:w="1188" w:type="dxa"/>
            <w:tcBorders>
              <w:top w:val="single" w:sz="12" w:space="0" w:color="000000"/>
              <w:bottom w:val="single" w:sz="4" w:space="0" w:color="000000"/>
            </w:tcBorders>
          </w:tcPr>
          <w:p w14:paraId="0A55F4F0"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C1 (Connectivity)</w:t>
            </w:r>
          </w:p>
        </w:tc>
        <w:tc>
          <w:tcPr>
            <w:tcW w:w="1317" w:type="dxa"/>
            <w:tcBorders>
              <w:top w:val="single" w:sz="12" w:space="0" w:color="000000"/>
              <w:bottom w:val="single" w:sz="4" w:space="0" w:color="000000"/>
            </w:tcBorders>
          </w:tcPr>
          <w:p w14:paraId="1EA2479F"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C2 (Affordability)</w:t>
            </w:r>
          </w:p>
        </w:tc>
        <w:tc>
          <w:tcPr>
            <w:tcW w:w="1135" w:type="dxa"/>
            <w:tcBorders>
              <w:top w:val="single" w:sz="12" w:space="0" w:color="000000"/>
              <w:bottom w:val="single" w:sz="4" w:space="0" w:color="000000"/>
            </w:tcBorders>
          </w:tcPr>
          <w:p w14:paraId="52A26D96" w14:textId="77777777" w:rsidR="00F51085" w:rsidRDefault="007C4D6B">
            <w:pPr>
              <w:pStyle w:val="TableCategories"/>
              <w:snapToGrid w:val="0"/>
              <w:jc w:val="center"/>
              <w:rPr>
                <w:rFonts w:ascii="Times New Roman" w:hAnsi="Times New Roman"/>
              </w:rPr>
            </w:pPr>
            <w:r>
              <w:rPr>
                <w:rFonts w:ascii="Times New Roman" w:hAnsi="Times New Roman"/>
              </w:rPr>
              <w:t>C3 (Integration)</w:t>
            </w:r>
          </w:p>
        </w:tc>
      </w:tr>
      <w:tr w:rsidR="00F51085" w14:paraId="72C598A7" w14:textId="77777777">
        <w:trPr>
          <w:jc w:val="center"/>
        </w:trPr>
        <w:tc>
          <w:tcPr>
            <w:tcW w:w="733" w:type="dxa"/>
            <w:tcBorders>
              <w:top w:val="single" w:sz="4" w:space="0" w:color="000000"/>
            </w:tcBorders>
          </w:tcPr>
          <w:p w14:paraId="54E621DC"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GH1</w:t>
            </w:r>
          </w:p>
        </w:tc>
        <w:tc>
          <w:tcPr>
            <w:tcW w:w="1188" w:type="dxa"/>
            <w:tcBorders>
              <w:top w:val="single" w:sz="4" w:space="0" w:color="000000"/>
            </w:tcBorders>
          </w:tcPr>
          <w:p w14:paraId="1BADD8CE"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5</w:t>
            </w:r>
          </w:p>
        </w:tc>
        <w:tc>
          <w:tcPr>
            <w:tcW w:w="1317" w:type="dxa"/>
            <w:tcBorders>
              <w:top w:val="single" w:sz="4" w:space="0" w:color="000000"/>
            </w:tcBorders>
          </w:tcPr>
          <w:p w14:paraId="77630F2E"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3</w:t>
            </w:r>
          </w:p>
        </w:tc>
        <w:tc>
          <w:tcPr>
            <w:tcW w:w="1135" w:type="dxa"/>
            <w:tcBorders>
              <w:top w:val="single" w:sz="4" w:space="0" w:color="000000"/>
            </w:tcBorders>
          </w:tcPr>
          <w:p w14:paraId="2E4A4854" w14:textId="77777777" w:rsidR="00F51085" w:rsidRDefault="007C4D6B">
            <w:pPr>
              <w:pStyle w:val="TableCaption"/>
              <w:snapToGrid w:val="0"/>
              <w:jc w:val="center"/>
              <w:rPr>
                <w:rFonts w:ascii="Times New Roman" w:hAnsi="Times New Roman"/>
              </w:rPr>
            </w:pPr>
            <w:r>
              <w:rPr>
                <w:rFonts w:ascii="Times New Roman" w:hAnsi="Times New Roman"/>
              </w:rPr>
              <w:t>3</w:t>
            </w:r>
          </w:p>
        </w:tc>
      </w:tr>
      <w:tr w:rsidR="00F51085" w14:paraId="0B388CC0" w14:textId="77777777">
        <w:trPr>
          <w:jc w:val="center"/>
        </w:trPr>
        <w:tc>
          <w:tcPr>
            <w:tcW w:w="733" w:type="dxa"/>
          </w:tcPr>
          <w:p w14:paraId="217E2C37"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GH2</w:t>
            </w:r>
          </w:p>
        </w:tc>
        <w:tc>
          <w:tcPr>
            <w:tcW w:w="1188" w:type="dxa"/>
          </w:tcPr>
          <w:p w14:paraId="0073030A"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3</w:t>
            </w:r>
          </w:p>
        </w:tc>
        <w:tc>
          <w:tcPr>
            <w:tcW w:w="1317" w:type="dxa"/>
          </w:tcPr>
          <w:p w14:paraId="57484DEE"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3</w:t>
            </w:r>
          </w:p>
        </w:tc>
        <w:tc>
          <w:tcPr>
            <w:tcW w:w="1135" w:type="dxa"/>
          </w:tcPr>
          <w:p w14:paraId="0BE27F41" w14:textId="77777777" w:rsidR="00F51085" w:rsidRDefault="007C4D6B">
            <w:pPr>
              <w:pStyle w:val="TableCaption"/>
              <w:snapToGrid w:val="0"/>
              <w:jc w:val="center"/>
              <w:rPr>
                <w:rFonts w:ascii="Times New Roman" w:hAnsi="Times New Roman"/>
              </w:rPr>
            </w:pPr>
            <w:r>
              <w:rPr>
                <w:rFonts w:ascii="Times New Roman" w:hAnsi="Times New Roman"/>
              </w:rPr>
              <w:t>3</w:t>
            </w:r>
          </w:p>
        </w:tc>
      </w:tr>
      <w:tr w:rsidR="00F51085" w14:paraId="14FA5578" w14:textId="77777777">
        <w:trPr>
          <w:jc w:val="center"/>
        </w:trPr>
        <w:tc>
          <w:tcPr>
            <w:tcW w:w="733" w:type="dxa"/>
          </w:tcPr>
          <w:p w14:paraId="137C54B4" w14:textId="77777777" w:rsidR="00F51085" w:rsidRDefault="007C4D6B">
            <w:pPr>
              <w:pStyle w:val="TableCaption"/>
              <w:snapToGrid w:val="0"/>
              <w:jc w:val="center"/>
              <w:rPr>
                <w:rFonts w:ascii="Times New Roman" w:hAnsi="Times New Roman"/>
              </w:rPr>
            </w:pPr>
            <w:r>
              <w:rPr>
                <w:rFonts w:ascii="Times New Roman" w:hAnsi="Times New Roman"/>
              </w:rPr>
              <w:t>GH3</w:t>
            </w:r>
          </w:p>
        </w:tc>
        <w:tc>
          <w:tcPr>
            <w:tcW w:w="1188" w:type="dxa"/>
          </w:tcPr>
          <w:p w14:paraId="23CA44A6" w14:textId="77777777" w:rsidR="00F51085" w:rsidRDefault="007C4D6B">
            <w:pPr>
              <w:pStyle w:val="TableCaption"/>
              <w:snapToGrid w:val="0"/>
              <w:jc w:val="center"/>
              <w:rPr>
                <w:rFonts w:ascii="Times New Roman" w:hAnsi="Times New Roman"/>
              </w:rPr>
            </w:pPr>
            <w:r>
              <w:rPr>
                <w:rFonts w:ascii="Times New Roman" w:hAnsi="Times New Roman"/>
              </w:rPr>
              <w:t>5</w:t>
            </w:r>
          </w:p>
        </w:tc>
        <w:tc>
          <w:tcPr>
            <w:tcW w:w="1317" w:type="dxa"/>
          </w:tcPr>
          <w:p w14:paraId="21B8642E" w14:textId="77777777" w:rsidR="00F51085" w:rsidRDefault="007C4D6B">
            <w:pPr>
              <w:pStyle w:val="TableCaption"/>
              <w:snapToGrid w:val="0"/>
              <w:jc w:val="center"/>
              <w:rPr>
                <w:rFonts w:ascii="Times New Roman" w:hAnsi="Times New Roman"/>
              </w:rPr>
            </w:pPr>
            <w:r>
              <w:rPr>
                <w:rFonts w:ascii="Times New Roman" w:hAnsi="Times New Roman"/>
              </w:rPr>
              <w:t>4</w:t>
            </w:r>
          </w:p>
        </w:tc>
        <w:tc>
          <w:tcPr>
            <w:tcW w:w="1135" w:type="dxa"/>
          </w:tcPr>
          <w:p w14:paraId="39E80450" w14:textId="77777777" w:rsidR="00F51085" w:rsidRDefault="007C4D6B">
            <w:pPr>
              <w:pStyle w:val="TableCaption"/>
              <w:snapToGrid w:val="0"/>
              <w:jc w:val="center"/>
              <w:rPr>
                <w:rFonts w:ascii="Times New Roman" w:hAnsi="Times New Roman"/>
              </w:rPr>
            </w:pPr>
            <w:r>
              <w:rPr>
                <w:rFonts w:ascii="Times New Roman" w:hAnsi="Times New Roman"/>
              </w:rPr>
              <w:t>5</w:t>
            </w:r>
          </w:p>
        </w:tc>
      </w:tr>
      <w:tr w:rsidR="00F51085" w14:paraId="0869CAAC" w14:textId="77777777">
        <w:trPr>
          <w:jc w:val="center"/>
        </w:trPr>
        <w:tc>
          <w:tcPr>
            <w:tcW w:w="733" w:type="dxa"/>
          </w:tcPr>
          <w:p w14:paraId="62AD9F5A" w14:textId="77777777" w:rsidR="00F51085" w:rsidRDefault="007C4D6B">
            <w:pPr>
              <w:pStyle w:val="TableCaption"/>
              <w:snapToGrid w:val="0"/>
              <w:jc w:val="center"/>
              <w:rPr>
                <w:rFonts w:ascii="Times New Roman" w:hAnsi="Times New Roman"/>
              </w:rPr>
            </w:pPr>
            <w:r>
              <w:rPr>
                <w:rFonts w:ascii="Times New Roman" w:hAnsi="Times New Roman"/>
              </w:rPr>
              <w:t>GH4</w:t>
            </w:r>
          </w:p>
        </w:tc>
        <w:tc>
          <w:tcPr>
            <w:tcW w:w="1188" w:type="dxa"/>
          </w:tcPr>
          <w:p w14:paraId="39C739D4" w14:textId="77777777" w:rsidR="00F51085" w:rsidRDefault="007C4D6B">
            <w:pPr>
              <w:pStyle w:val="TableCaption"/>
              <w:snapToGrid w:val="0"/>
              <w:jc w:val="center"/>
              <w:rPr>
                <w:rFonts w:ascii="Times New Roman" w:hAnsi="Times New Roman"/>
              </w:rPr>
            </w:pPr>
            <w:r>
              <w:rPr>
                <w:rFonts w:ascii="Times New Roman" w:hAnsi="Times New Roman"/>
              </w:rPr>
              <w:t>1</w:t>
            </w:r>
          </w:p>
        </w:tc>
        <w:tc>
          <w:tcPr>
            <w:tcW w:w="1317" w:type="dxa"/>
          </w:tcPr>
          <w:p w14:paraId="2B0256B4" w14:textId="77777777" w:rsidR="00F51085" w:rsidRDefault="007C4D6B">
            <w:pPr>
              <w:pStyle w:val="TableCaption"/>
              <w:snapToGrid w:val="0"/>
              <w:jc w:val="center"/>
              <w:rPr>
                <w:rFonts w:ascii="Times New Roman" w:hAnsi="Times New Roman"/>
              </w:rPr>
            </w:pPr>
            <w:r>
              <w:rPr>
                <w:rFonts w:ascii="Times New Roman" w:hAnsi="Times New Roman"/>
              </w:rPr>
              <w:t>1</w:t>
            </w:r>
          </w:p>
        </w:tc>
        <w:tc>
          <w:tcPr>
            <w:tcW w:w="1135" w:type="dxa"/>
          </w:tcPr>
          <w:p w14:paraId="13C50552" w14:textId="77777777" w:rsidR="00F51085" w:rsidRDefault="007C4D6B">
            <w:pPr>
              <w:pStyle w:val="TableCaption"/>
              <w:snapToGrid w:val="0"/>
              <w:jc w:val="center"/>
              <w:rPr>
                <w:rFonts w:ascii="Times New Roman" w:hAnsi="Times New Roman"/>
              </w:rPr>
            </w:pPr>
            <w:r>
              <w:rPr>
                <w:rFonts w:ascii="Times New Roman" w:hAnsi="Times New Roman"/>
              </w:rPr>
              <w:t>2</w:t>
            </w:r>
          </w:p>
        </w:tc>
      </w:tr>
      <w:tr w:rsidR="00F51085" w14:paraId="3DD54E73" w14:textId="77777777">
        <w:trPr>
          <w:jc w:val="center"/>
        </w:trPr>
        <w:tc>
          <w:tcPr>
            <w:tcW w:w="733" w:type="dxa"/>
          </w:tcPr>
          <w:p w14:paraId="5D90DE95" w14:textId="77777777" w:rsidR="00F51085" w:rsidRDefault="007C4D6B">
            <w:pPr>
              <w:pStyle w:val="TableCaption"/>
              <w:snapToGrid w:val="0"/>
              <w:jc w:val="center"/>
              <w:rPr>
                <w:rFonts w:ascii="Times New Roman" w:hAnsi="Times New Roman"/>
              </w:rPr>
            </w:pPr>
            <w:r>
              <w:rPr>
                <w:rFonts w:ascii="Times New Roman" w:hAnsi="Times New Roman"/>
              </w:rPr>
              <w:t>GH5</w:t>
            </w:r>
          </w:p>
        </w:tc>
        <w:tc>
          <w:tcPr>
            <w:tcW w:w="1188" w:type="dxa"/>
          </w:tcPr>
          <w:p w14:paraId="19B7D984" w14:textId="77777777" w:rsidR="00F51085" w:rsidRDefault="007C4D6B">
            <w:pPr>
              <w:pStyle w:val="TableCaption"/>
              <w:snapToGrid w:val="0"/>
              <w:jc w:val="center"/>
              <w:rPr>
                <w:rFonts w:ascii="Times New Roman" w:hAnsi="Times New Roman"/>
              </w:rPr>
            </w:pPr>
            <w:r>
              <w:rPr>
                <w:rFonts w:ascii="Times New Roman" w:hAnsi="Times New Roman"/>
              </w:rPr>
              <w:t>5</w:t>
            </w:r>
          </w:p>
        </w:tc>
        <w:tc>
          <w:tcPr>
            <w:tcW w:w="1317" w:type="dxa"/>
          </w:tcPr>
          <w:p w14:paraId="3D205932" w14:textId="77777777" w:rsidR="00F51085" w:rsidRDefault="007C4D6B">
            <w:pPr>
              <w:pStyle w:val="TableCaption"/>
              <w:snapToGrid w:val="0"/>
              <w:jc w:val="center"/>
              <w:rPr>
                <w:rFonts w:ascii="Times New Roman" w:hAnsi="Times New Roman"/>
              </w:rPr>
            </w:pPr>
            <w:r>
              <w:rPr>
                <w:rFonts w:ascii="Times New Roman" w:hAnsi="Times New Roman"/>
              </w:rPr>
              <w:t>5</w:t>
            </w:r>
          </w:p>
        </w:tc>
        <w:tc>
          <w:tcPr>
            <w:tcW w:w="1135" w:type="dxa"/>
          </w:tcPr>
          <w:p w14:paraId="1D0AAE81" w14:textId="77777777" w:rsidR="00F51085" w:rsidRDefault="007C4D6B">
            <w:pPr>
              <w:pStyle w:val="TableCaption"/>
              <w:snapToGrid w:val="0"/>
              <w:jc w:val="center"/>
              <w:rPr>
                <w:rFonts w:ascii="Times New Roman" w:hAnsi="Times New Roman"/>
              </w:rPr>
            </w:pPr>
            <w:r>
              <w:rPr>
                <w:rFonts w:ascii="Times New Roman" w:hAnsi="Times New Roman"/>
              </w:rPr>
              <w:t>4</w:t>
            </w:r>
          </w:p>
        </w:tc>
      </w:tr>
      <w:tr w:rsidR="00F51085" w14:paraId="7992C06E" w14:textId="77777777">
        <w:trPr>
          <w:jc w:val="center"/>
        </w:trPr>
        <w:tc>
          <w:tcPr>
            <w:tcW w:w="733" w:type="dxa"/>
            <w:tcBorders>
              <w:bottom w:val="single" w:sz="4" w:space="0" w:color="000000"/>
            </w:tcBorders>
            <w:tcMar>
              <w:top w:w="55" w:type="dxa"/>
              <w:bottom w:w="55" w:type="dxa"/>
            </w:tcMar>
          </w:tcPr>
          <w:p w14:paraId="3B2F6579" w14:textId="77777777" w:rsidR="00F51085" w:rsidRDefault="007C4D6B">
            <w:pPr>
              <w:snapToGrid w:val="0"/>
              <w:spacing w:after="0"/>
              <w:jc w:val="center"/>
              <w:rPr>
                <w:color w:val="000000"/>
                <w:sz w:val="16"/>
                <w:szCs w:val="16"/>
              </w:rPr>
            </w:pPr>
            <w:r>
              <w:rPr>
                <w:color w:val="000000"/>
                <w:sz w:val="16"/>
                <w:szCs w:val="16"/>
              </w:rPr>
              <w:t>Total</w:t>
            </w:r>
          </w:p>
        </w:tc>
        <w:tc>
          <w:tcPr>
            <w:tcW w:w="1188" w:type="dxa"/>
            <w:tcBorders>
              <w:bottom w:val="single" w:sz="4" w:space="0" w:color="000000"/>
            </w:tcBorders>
            <w:tcMar>
              <w:top w:w="55" w:type="dxa"/>
              <w:bottom w:w="55" w:type="dxa"/>
            </w:tcMar>
          </w:tcPr>
          <w:p w14:paraId="2454A8AD" w14:textId="77777777" w:rsidR="00F51085" w:rsidRDefault="007C4D6B">
            <w:pPr>
              <w:snapToGrid w:val="0"/>
              <w:spacing w:after="0"/>
              <w:jc w:val="center"/>
              <w:rPr>
                <w:color w:val="000000"/>
                <w:sz w:val="16"/>
                <w:szCs w:val="16"/>
              </w:rPr>
            </w:pPr>
            <w:r>
              <w:rPr>
                <w:color w:val="000000"/>
                <w:sz w:val="16"/>
                <w:szCs w:val="16"/>
              </w:rPr>
              <w:t>19</w:t>
            </w:r>
          </w:p>
        </w:tc>
        <w:tc>
          <w:tcPr>
            <w:tcW w:w="1317" w:type="dxa"/>
            <w:tcBorders>
              <w:bottom w:val="single" w:sz="4" w:space="0" w:color="000000"/>
            </w:tcBorders>
            <w:tcMar>
              <w:top w:w="55" w:type="dxa"/>
              <w:bottom w:w="55" w:type="dxa"/>
            </w:tcMar>
          </w:tcPr>
          <w:p w14:paraId="5ED7C6E5" w14:textId="77777777" w:rsidR="00F51085" w:rsidRDefault="007C4D6B">
            <w:pPr>
              <w:snapToGrid w:val="0"/>
              <w:spacing w:after="0"/>
              <w:jc w:val="center"/>
              <w:rPr>
                <w:color w:val="000000"/>
                <w:sz w:val="16"/>
                <w:szCs w:val="16"/>
              </w:rPr>
            </w:pPr>
            <w:r>
              <w:rPr>
                <w:color w:val="000000"/>
                <w:sz w:val="16"/>
                <w:szCs w:val="16"/>
              </w:rPr>
              <w:t>16</w:t>
            </w:r>
          </w:p>
        </w:tc>
        <w:tc>
          <w:tcPr>
            <w:tcW w:w="1135" w:type="dxa"/>
            <w:tcBorders>
              <w:bottom w:val="single" w:sz="4" w:space="0" w:color="000000"/>
            </w:tcBorders>
            <w:tcMar>
              <w:top w:w="55" w:type="dxa"/>
              <w:bottom w:w="55" w:type="dxa"/>
            </w:tcMar>
          </w:tcPr>
          <w:p w14:paraId="16F61510" w14:textId="77777777" w:rsidR="00F51085" w:rsidRDefault="007C4D6B">
            <w:pPr>
              <w:pStyle w:val="TableCaption"/>
              <w:snapToGrid w:val="0"/>
              <w:jc w:val="center"/>
              <w:rPr>
                <w:rFonts w:ascii="Times New Roman" w:hAnsi="Times New Roman"/>
              </w:rPr>
            </w:pPr>
            <w:r>
              <w:rPr>
                <w:rFonts w:ascii="Times New Roman" w:hAnsi="Times New Roman"/>
              </w:rPr>
              <w:t>17</w:t>
            </w:r>
          </w:p>
        </w:tc>
      </w:tr>
    </w:tbl>
    <w:p w14:paraId="0DED2FF4" w14:textId="49AFC29E" w:rsidR="00F51085" w:rsidRDefault="007C4D6B">
      <w:pPr>
        <w:pStyle w:val="Caption"/>
        <w:spacing w:before="120" w:after="120"/>
      </w:pPr>
      <w:r>
        <w:rPr>
          <w:iCs/>
          <w:color w:val="000000"/>
          <w:szCs w:val="20"/>
        </w:rPr>
        <w:t xml:space="preserve">Table </w:t>
      </w:r>
      <w:r w:rsidR="00F51085">
        <w:rPr>
          <w:iCs/>
          <w:color w:val="000000"/>
          <w:szCs w:val="20"/>
        </w:rPr>
        <w:fldChar w:fldCharType="begin"/>
      </w:r>
      <w:r>
        <w:rPr>
          <w:iCs/>
          <w:color w:val="000000"/>
          <w:szCs w:val="20"/>
        </w:rPr>
        <w:instrText xml:space="preserve"> SEQ Tabel_ \* ARABIC </w:instrText>
      </w:r>
      <w:r w:rsidR="00F51085">
        <w:rPr>
          <w:iCs/>
          <w:color w:val="000000"/>
          <w:szCs w:val="20"/>
        </w:rPr>
        <w:fldChar w:fldCharType="separate"/>
      </w:r>
      <w:r w:rsidR="00C8313A">
        <w:rPr>
          <w:iCs/>
          <w:noProof/>
          <w:color w:val="000000"/>
          <w:szCs w:val="20"/>
        </w:rPr>
        <w:t>4</w:t>
      </w:r>
      <w:r w:rsidR="00F51085">
        <w:rPr>
          <w:iCs/>
          <w:color w:val="000000"/>
          <w:szCs w:val="20"/>
        </w:rPr>
        <w:fldChar w:fldCharType="end"/>
      </w:r>
      <w:r>
        <w:rPr>
          <w:iCs/>
          <w:color w:val="000000"/>
          <w:szCs w:val="20"/>
        </w:rPr>
        <w:t>.  Normalized score decision matrix for each greenhouse model</w:t>
      </w:r>
    </w:p>
    <w:tbl>
      <w:tblPr>
        <w:tblW w:w="4374" w:type="dxa"/>
        <w:jc w:val="center"/>
        <w:tblLayout w:type="fixed"/>
        <w:tblLook w:val="0000" w:firstRow="0" w:lastRow="0" w:firstColumn="0" w:lastColumn="0" w:noHBand="0" w:noVBand="0"/>
      </w:tblPr>
      <w:tblGrid>
        <w:gridCol w:w="734"/>
        <w:gridCol w:w="1188"/>
        <w:gridCol w:w="1317"/>
        <w:gridCol w:w="1135"/>
      </w:tblGrid>
      <w:tr w:rsidR="00F51085" w14:paraId="6F9AE623" w14:textId="77777777" w:rsidTr="008E4DEA">
        <w:trPr>
          <w:jc w:val="center"/>
        </w:trPr>
        <w:tc>
          <w:tcPr>
            <w:tcW w:w="734" w:type="dxa"/>
            <w:tcBorders>
              <w:top w:val="single" w:sz="12" w:space="0" w:color="000000"/>
              <w:bottom w:val="single" w:sz="4" w:space="0" w:color="000000"/>
            </w:tcBorders>
          </w:tcPr>
          <w:p w14:paraId="5F555E02"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GH Model</w:t>
            </w:r>
          </w:p>
        </w:tc>
        <w:tc>
          <w:tcPr>
            <w:tcW w:w="1188" w:type="dxa"/>
            <w:tcBorders>
              <w:top w:val="single" w:sz="12" w:space="0" w:color="000000"/>
              <w:bottom w:val="single" w:sz="4" w:space="0" w:color="000000"/>
            </w:tcBorders>
          </w:tcPr>
          <w:p w14:paraId="69045FAC"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C1 (Connectivity)</w:t>
            </w:r>
          </w:p>
        </w:tc>
        <w:tc>
          <w:tcPr>
            <w:tcW w:w="1317" w:type="dxa"/>
            <w:tcBorders>
              <w:top w:val="single" w:sz="12" w:space="0" w:color="000000"/>
              <w:bottom w:val="single" w:sz="4" w:space="0" w:color="000000"/>
            </w:tcBorders>
          </w:tcPr>
          <w:p w14:paraId="67D7275E"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C2 (Affordability)</w:t>
            </w:r>
          </w:p>
        </w:tc>
        <w:tc>
          <w:tcPr>
            <w:tcW w:w="1135" w:type="dxa"/>
            <w:tcBorders>
              <w:top w:val="single" w:sz="12" w:space="0" w:color="000000"/>
              <w:bottom w:val="single" w:sz="4" w:space="0" w:color="000000"/>
            </w:tcBorders>
          </w:tcPr>
          <w:p w14:paraId="440E31D7" w14:textId="77777777" w:rsidR="00F51085" w:rsidRDefault="007C4D6B">
            <w:pPr>
              <w:pStyle w:val="TableCategories"/>
              <w:snapToGrid w:val="0"/>
              <w:jc w:val="center"/>
              <w:rPr>
                <w:rFonts w:ascii="Times New Roman" w:hAnsi="Times New Roman"/>
              </w:rPr>
            </w:pPr>
            <w:r>
              <w:rPr>
                <w:rFonts w:ascii="Times New Roman" w:hAnsi="Times New Roman"/>
              </w:rPr>
              <w:t>C3 (Integration)</w:t>
            </w:r>
          </w:p>
        </w:tc>
      </w:tr>
      <w:tr w:rsidR="00F51085" w14:paraId="12E3CA78" w14:textId="77777777" w:rsidTr="008E4DEA">
        <w:trPr>
          <w:jc w:val="center"/>
        </w:trPr>
        <w:tc>
          <w:tcPr>
            <w:tcW w:w="734" w:type="dxa"/>
            <w:tcBorders>
              <w:top w:val="single" w:sz="4" w:space="0" w:color="000000"/>
            </w:tcBorders>
          </w:tcPr>
          <w:p w14:paraId="247BAF2C"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GH1</w:t>
            </w:r>
          </w:p>
        </w:tc>
        <w:tc>
          <w:tcPr>
            <w:tcW w:w="1188" w:type="dxa"/>
            <w:tcBorders>
              <w:top w:val="single" w:sz="4" w:space="0" w:color="000000"/>
            </w:tcBorders>
          </w:tcPr>
          <w:p w14:paraId="37FBF889" w14:textId="77777777" w:rsidR="00F51085" w:rsidRDefault="007C4D6B">
            <w:pPr>
              <w:pStyle w:val="TableCaption"/>
              <w:snapToGrid w:val="0"/>
              <w:jc w:val="center"/>
              <w:rPr>
                <w:rFonts w:ascii="Times New Roman" w:hAnsi="Times New Roman"/>
              </w:rPr>
            </w:pPr>
            <w:r>
              <w:rPr>
                <w:rFonts w:ascii="Times New Roman" w:hAnsi="Times New Roman"/>
              </w:rPr>
              <w:t>0.26</w:t>
            </w:r>
          </w:p>
        </w:tc>
        <w:tc>
          <w:tcPr>
            <w:tcW w:w="1317" w:type="dxa"/>
            <w:tcBorders>
              <w:top w:val="single" w:sz="4" w:space="0" w:color="000000"/>
            </w:tcBorders>
          </w:tcPr>
          <w:p w14:paraId="587A7988"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0.19</w:t>
            </w:r>
          </w:p>
        </w:tc>
        <w:tc>
          <w:tcPr>
            <w:tcW w:w="1135" w:type="dxa"/>
            <w:tcBorders>
              <w:top w:val="single" w:sz="4" w:space="0" w:color="000000"/>
            </w:tcBorders>
          </w:tcPr>
          <w:p w14:paraId="6D954778" w14:textId="77777777" w:rsidR="00F51085" w:rsidRDefault="007C4D6B">
            <w:pPr>
              <w:pStyle w:val="TableCaption"/>
              <w:snapToGrid w:val="0"/>
              <w:jc w:val="center"/>
              <w:rPr>
                <w:rFonts w:ascii="Times New Roman" w:hAnsi="Times New Roman"/>
              </w:rPr>
            </w:pPr>
            <w:r>
              <w:rPr>
                <w:rFonts w:ascii="Times New Roman" w:hAnsi="Times New Roman"/>
              </w:rPr>
              <w:t>0.18</w:t>
            </w:r>
          </w:p>
        </w:tc>
      </w:tr>
      <w:tr w:rsidR="00F51085" w14:paraId="66739E47" w14:textId="77777777" w:rsidTr="008E4DEA">
        <w:trPr>
          <w:jc w:val="center"/>
        </w:trPr>
        <w:tc>
          <w:tcPr>
            <w:tcW w:w="734" w:type="dxa"/>
          </w:tcPr>
          <w:p w14:paraId="47DB2B72"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GH2</w:t>
            </w:r>
          </w:p>
        </w:tc>
        <w:tc>
          <w:tcPr>
            <w:tcW w:w="1188" w:type="dxa"/>
          </w:tcPr>
          <w:p w14:paraId="3E1E83B0"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0.16</w:t>
            </w:r>
          </w:p>
        </w:tc>
        <w:tc>
          <w:tcPr>
            <w:tcW w:w="1317" w:type="dxa"/>
          </w:tcPr>
          <w:p w14:paraId="33AED785"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0.19</w:t>
            </w:r>
          </w:p>
        </w:tc>
        <w:tc>
          <w:tcPr>
            <w:tcW w:w="1135" w:type="dxa"/>
          </w:tcPr>
          <w:p w14:paraId="558EE853" w14:textId="77777777" w:rsidR="00F51085" w:rsidRDefault="007C4D6B">
            <w:pPr>
              <w:pStyle w:val="TableCaption"/>
              <w:snapToGrid w:val="0"/>
              <w:jc w:val="center"/>
              <w:rPr>
                <w:rFonts w:ascii="Times New Roman" w:hAnsi="Times New Roman"/>
              </w:rPr>
            </w:pPr>
            <w:r>
              <w:rPr>
                <w:rFonts w:ascii="Times New Roman" w:hAnsi="Times New Roman"/>
              </w:rPr>
              <w:t>0.18</w:t>
            </w:r>
          </w:p>
        </w:tc>
      </w:tr>
      <w:tr w:rsidR="00F51085" w14:paraId="1DFDEBB4" w14:textId="77777777" w:rsidTr="008E4DEA">
        <w:trPr>
          <w:jc w:val="center"/>
        </w:trPr>
        <w:tc>
          <w:tcPr>
            <w:tcW w:w="734" w:type="dxa"/>
          </w:tcPr>
          <w:p w14:paraId="7C8BF9BC" w14:textId="77777777" w:rsidR="00F51085" w:rsidRDefault="007C4D6B">
            <w:pPr>
              <w:pStyle w:val="TableCaption"/>
              <w:snapToGrid w:val="0"/>
              <w:jc w:val="center"/>
              <w:rPr>
                <w:rFonts w:ascii="Times New Roman" w:hAnsi="Times New Roman"/>
              </w:rPr>
            </w:pPr>
            <w:r>
              <w:rPr>
                <w:rFonts w:ascii="Times New Roman" w:hAnsi="Times New Roman"/>
              </w:rPr>
              <w:t>GH3</w:t>
            </w:r>
          </w:p>
        </w:tc>
        <w:tc>
          <w:tcPr>
            <w:tcW w:w="1188" w:type="dxa"/>
          </w:tcPr>
          <w:p w14:paraId="20F88960" w14:textId="77777777" w:rsidR="00F51085" w:rsidRDefault="007C4D6B">
            <w:pPr>
              <w:pStyle w:val="TableCaption"/>
              <w:snapToGrid w:val="0"/>
              <w:jc w:val="center"/>
              <w:rPr>
                <w:rFonts w:ascii="Times New Roman" w:hAnsi="Times New Roman"/>
              </w:rPr>
            </w:pPr>
            <w:r>
              <w:rPr>
                <w:rFonts w:ascii="Times New Roman" w:hAnsi="Times New Roman"/>
              </w:rPr>
              <w:t>0.26</w:t>
            </w:r>
          </w:p>
        </w:tc>
        <w:tc>
          <w:tcPr>
            <w:tcW w:w="1317" w:type="dxa"/>
          </w:tcPr>
          <w:p w14:paraId="79BAE6E3" w14:textId="77777777" w:rsidR="00F51085" w:rsidRDefault="007C4D6B">
            <w:pPr>
              <w:pStyle w:val="TableCaption"/>
              <w:snapToGrid w:val="0"/>
              <w:jc w:val="center"/>
              <w:rPr>
                <w:rFonts w:ascii="Times New Roman" w:hAnsi="Times New Roman"/>
              </w:rPr>
            </w:pPr>
            <w:r>
              <w:rPr>
                <w:rFonts w:ascii="Times New Roman" w:hAnsi="Times New Roman"/>
              </w:rPr>
              <w:t>0.25</w:t>
            </w:r>
          </w:p>
        </w:tc>
        <w:tc>
          <w:tcPr>
            <w:tcW w:w="1135" w:type="dxa"/>
          </w:tcPr>
          <w:p w14:paraId="12388974" w14:textId="77777777" w:rsidR="00F51085" w:rsidRDefault="007C4D6B">
            <w:pPr>
              <w:pStyle w:val="TableCaption"/>
              <w:snapToGrid w:val="0"/>
              <w:jc w:val="center"/>
              <w:rPr>
                <w:rFonts w:ascii="Times New Roman" w:hAnsi="Times New Roman"/>
              </w:rPr>
            </w:pPr>
            <w:r>
              <w:rPr>
                <w:rFonts w:ascii="Times New Roman" w:hAnsi="Times New Roman"/>
              </w:rPr>
              <w:t>0.29</w:t>
            </w:r>
          </w:p>
        </w:tc>
      </w:tr>
      <w:tr w:rsidR="00F51085" w14:paraId="3E62F7F2" w14:textId="77777777" w:rsidTr="008E4DEA">
        <w:trPr>
          <w:jc w:val="center"/>
        </w:trPr>
        <w:tc>
          <w:tcPr>
            <w:tcW w:w="734" w:type="dxa"/>
          </w:tcPr>
          <w:p w14:paraId="31481396" w14:textId="77777777" w:rsidR="00F51085" w:rsidRDefault="007C4D6B">
            <w:pPr>
              <w:pStyle w:val="TableCaption"/>
              <w:snapToGrid w:val="0"/>
              <w:jc w:val="center"/>
              <w:rPr>
                <w:rFonts w:ascii="Times New Roman" w:hAnsi="Times New Roman"/>
              </w:rPr>
            </w:pPr>
            <w:r>
              <w:rPr>
                <w:rFonts w:ascii="Times New Roman" w:hAnsi="Times New Roman"/>
              </w:rPr>
              <w:t>GH4</w:t>
            </w:r>
          </w:p>
        </w:tc>
        <w:tc>
          <w:tcPr>
            <w:tcW w:w="1188" w:type="dxa"/>
          </w:tcPr>
          <w:p w14:paraId="35242800" w14:textId="77777777" w:rsidR="00F51085" w:rsidRDefault="007C4D6B">
            <w:pPr>
              <w:pStyle w:val="TableCaption"/>
              <w:snapToGrid w:val="0"/>
              <w:jc w:val="center"/>
              <w:rPr>
                <w:rFonts w:ascii="Times New Roman" w:hAnsi="Times New Roman"/>
              </w:rPr>
            </w:pPr>
            <w:r>
              <w:rPr>
                <w:rFonts w:ascii="Times New Roman" w:hAnsi="Times New Roman"/>
              </w:rPr>
              <w:t>0.05</w:t>
            </w:r>
          </w:p>
        </w:tc>
        <w:tc>
          <w:tcPr>
            <w:tcW w:w="1317" w:type="dxa"/>
          </w:tcPr>
          <w:p w14:paraId="471F5EEB" w14:textId="77777777" w:rsidR="00F51085" w:rsidRDefault="007C4D6B">
            <w:pPr>
              <w:pStyle w:val="TableCaption"/>
              <w:snapToGrid w:val="0"/>
              <w:jc w:val="center"/>
              <w:rPr>
                <w:rFonts w:ascii="Times New Roman" w:hAnsi="Times New Roman"/>
              </w:rPr>
            </w:pPr>
            <w:r>
              <w:rPr>
                <w:rFonts w:ascii="Times New Roman" w:hAnsi="Times New Roman"/>
              </w:rPr>
              <w:t>0.06</w:t>
            </w:r>
          </w:p>
        </w:tc>
        <w:tc>
          <w:tcPr>
            <w:tcW w:w="1135" w:type="dxa"/>
          </w:tcPr>
          <w:p w14:paraId="19892BD3" w14:textId="77777777" w:rsidR="00F51085" w:rsidRDefault="007C4D6B">
            <w:pPr>
              <w:pStyle w:val="TableCaption"/>
              <w:snapToGrid w:val="0"/>
              <w:jc w:val="center"/>
              <w:rPr>
                <w:rFonts w:ascii="Times New Roman" w:hAnsi="Times New Roman"/>
              </w:rPr>
            </w:pPr>
            <w:r>
              <w:rPr>
                <w:rFonts w:ascii="Times New Roman" w:hAnsi="Times New Roman"/>
              </w:rPr>
              <w:t>0.12</w:t>
            </w:r>
          </w:p>
        </w:tc>
      </w:tr>
      <w:tr w:rsidR="00F51085" w14:paraId="49D1350B" w14:textId="77777777" w:rsidTr="008E4DEA">
        <w:trPr>
          <w:jc w:val="center"/>
        </w:trPr>
        <w:tc>
          <w:tcPr>
            <w:tcW w:w="734" w:type="dxa"/>
          </w:tcPr>
          <w:p w14:paraId="75CEE4E3" w14:textId="77777777" w:rsidR="00F51085" w:rsidRDefault="007C4D6B">
            <w:pPr>
              <w:pStyle w:val="TableCaption"/>
              <w:snapToGrid w:val="0"/>
              <w:jc w:val="center"/>
              <w:rPr>
                <w:rFonts w:ascii="Times New Roman" w:hAnsi="Times New Roman"/>
              </w:rPr>
            </w:pPr>
            <w:r>
              <w:rPr>
                <w:rFonts w:ascii="Times New Roman" w:hAnsi="Times New Roman"/>
              </w:rPr>
              <w:t>GH5</w:t>
            </w:r>
          </w:p>
        </w:tc>
        <w:tc>
          <w:tcPr>
            <w:tcW w:w="1188" w:type="dxa"/>
          </w:tcPr>
          <w:p w14:paraId="1D2FE0D6" w14:textId="77777777" w:rsidR="00F51085" w:rsidRDefault="007C4D6B">
            <w:pPr>
              <w:pStyle w:val="TableCaption"/>
              <w:snapToGrid w:val="0"/>
              <w:jc w:val="center"/>
              <w:rPr>
                <w:rFonts w:ascii="Times New Roman" w:hAnsi="Times New Roman"/>
              </w:rPr>
            </w:pPr>
            <w:r>
              <w:rPr>
                <w:rFonts w:ascii="Times New Roman" w:hAnsi="Times New Roman"/>
              </w:rPr>
              <w:t>0.26</w:t>
            </w:r>
          </w:p>
        </w:tc>
        <w:tc>
          <w:tcPr>
            <w:tcW w:w="1317" w:type="dxa"/>
          </w:tcPr>
          <w:p w14:paraId="50D13BB2" w14:textId="77777777" w:rsidR="00F51085" w:rsidRDefault="007C4D6B">
            <w:pPr>
              <w:pStyle w:val="TableCaption"/>
              <w:snapToGrid w:val="0"/>
              <w:jc w:val="center"/>
              <w:rPr>
                <w:rFonts w:ascii="Times New Roman" w:hAnsi="Times New Roman"/>
              </w:rPr>
            </w:pPr>
            <w:r>
              <w:rPr>
                <w:rFonts w:ascii="Times New Roman" w:hAnsi="Times New Roman"/>
              </w:rPr>
              <w:t>0.31</w:t>
            </w:r>
          </w:p>
        </w:tc>
        <w:tc>
          <w:tcPr>
            <w:tcW w:w="1135" w:type="dxa"/>
          </w:tcPr>
          <w:p w14:paraId="05EC0039" w14:textId="77777777" w:rsidR="00F51085" w:rsidRDefault="007C4D6B">
            <w:pPr>
              <w:pStyle w:val="TableCaption"/>
              <w:snapToGrid w:val="0"/>
              <w:jc w:val="center"/>
              <w:rPr>
                <w:rFonts w:ascii="Times New Roman" w:hAnsi="Times New Roman"/>
              </w:rPr>
            </w:pPr>
            <w:r>
              <w:rPr>
                <w:rFonts w:ascii="Times New Roman" w:hAnsi="Times New Roman"/>
              </w:rPr>
              <w:t>0.24</w:t>
            </w:r>
          </w:p>
        </w:tc>
      </w:tr>
      <w:tr w:rsidR="00F51085" w14:paraId="7E3991D1" w14:textId="77777777" w:rsidTr="008E4DEA">
        <w:trPr>
          <w:jc w:val="center"/>
        </w:trPr>
        <w:tc>
          <w:tcPr>
            <w:tcW w:w="734" w:type="dxa"/>
            <w:tcBorders>
              <w:bottom w:val="single" w:sz="4" w:space="0" w:color="000000"/>
            </w:tcBorders>
            <w:tcMar>
              <w:top w:w="55" w:type="dxa"/>
              <w:bottom w:w="55" w:type="dxa"/>
            </w:tcMar>
          </w:tcPr>
          <w:p w14:paraId="79ECB285" w14:textId="77777777" w:rsidR="00F51085" w:rsidRDefault="007C4D6B">
            <w:pPr>
              <w:snapToGrid w:val="0"/>
              <w:spacing w:after="0"/>
              <w:jc w:val="center"/>
              <w:rPr>
                <w:color w:val="000000"/>
                <w:sz w:val="16"/>
                <w:szCs w:val="16"/>
              </w:rPr>
            </w:pPr>
            <w:r>
              <w:rPr>
                <w:color w:val="000000"/>
                <w:sz w:val="16"/>
                <w:szCs w:val="16"/>
              </w:rPr>
              <w:t>Total</w:t>
            </w:r>
          </w:p>
        </w:tc>
        <w:tc>
          <w:tcPr>
            <w:tcW w:w="1188" w:type="dxa"/>
            <w:tcBorders>
              <w:bottom w:val="single" w:sz="4" w:space="0" w:color="000000"/>
            </w:tcBorders>
            <w:tcMar>
              <w:top w:w="55" w:type="dxa"/>
              <w:bottom w:w="55" w:type="dxa"/>
            </w:tcMar>
          </w:tcPr>
          <w:p w14:paraId="08899C1E" w14:textId="77777777" w:rsidR="00F51085" w:rsidRDefault="007C4D6B">
            <w:pPr>
              <w:snapToGrid w:val="0"/>
              <w:spacing w:after="0"/>
              <w:jc w:val="center"/>
              <w:rPr>
                <w:color w:val="000000"/>
                <w:sz w:val="16"/>
                <w:szCs w:val="16"/>
              </w:rPr>
            </w:pPr>
            <w:r>
              <w:rPr>
                <w:color w:val="000000"/>
                <w:sz w:val="16"/>
                <w:szCs w:val="16"/>
              </w:rPr>
              <w:t>1.00</w:t>
            </w:r>
          </w:p>
        </w:tc>
        <w:tc>
          <w:tcPr>
            <w:tcW w:w="1317" w:type="dxa"/>
            <w:tcBorders>
              <w:bottom w:val="single" w:sz="4" w:space="0" w:color="000000"/>
            </w:tcBorders>
            <w:tcMar>
              <w:top w:w="55" w:type="dxa"/>
              <w:bottom w:w="55" w:type="dxa"/>
            </w:tcMar>
          </w:tcPr>
          <w:p w14:paraId="2236F1DC" w14:textId="77777777" w:rsidR="00F51085" w:rsidRDefault="007C4D6B">
            <w:pPr>
              <w:snapToGrid w:val="0"/>
              <w:spacing w:after="0"/>
              <w:jc w:val="center"/>
              <w:rPr>
                <w:color w:val="000000"/>
                <w:sz w:val="16"/>
                <w:szCs w:val="16"/>
              </w:rPr>
            </w:pPr>
            <w:r>
              <w:rPr>
                <w:color w:val="000000"/>
                <w:sz w:val="16"/>
                <w:szCs w:val="16"/>
              </w:rPr>
              <w:t>1.00</w:t>
            </w:r>
          </w:p>
        </w:tc>
        <w:tc>
          <w:tcPr>
            <w:tcW w:w="1135" w:type="dxa"/>
            <w:tcBorders>
              <w:bottom w:val="single" w:sz="4" w:space="0" w:color="000000"/>
            </w:tcBorders>
            <w:tcMar>
              <w:top w:w="55" w:type="dxa"/>
              <w:bottom w:w="55" w:type="dxa"/>
            </w:tcMar>
          </w:tcPr>
          <w:p w14:paraId="30E938EC" w14:textId="77777777" w:rsidR="00F51085" w:rsidRDefault="007C4D6B">
            <w:pPr>
              <w:pStyle w:val="TableCaption"/>
              <w:snapToGrid w:val="0"/>
              <w:jc w:val="center"/>
              <w:rPr>
                <w:rFonts w:ascii="Times New Roman" w:hAnsi="Times New Roman"/>
              </w:rPr>
            </w:pPr>
            <w:r>
              <w:rPr>
                <w:rFonts w:ascii="Times New Roman" w:hAnsi="Times New Roman"/>
              </w:rPr>
              <w:t>1.00</w:t>
            </w:r>
          </w:p>
        </w:tc>
      </w:tr>
    </w:tbl>
    <w:p w14:paraId="019C0833" w14:textId="1AB6E2E0" w:rsidR="00F51085" w:rsidRDefault="008E4DEA" w:rsidP="008E4DEA">
      <w:pPr>
        <w:pStyle w:val="BodyText"/>
        <w:spacing w:before="120"/>
      </w:pPr>
      <w:r>
        <w:t xml:space="preserve">Table 3 presents the raw score assessment results for each greenhouse model based on the criteria defined in </w:t>
      </w:r>
      <w:r w:rsidR="007C4D6B">
        <w:t>the research methodology. These criteria, namely connectivity, affordability, and integration, were selected based on field observation results and represent key factors influencing farmers' ability and willingness to adopt digital technology. Table 4 then displays the normalization results of the raw scores, allowing for a fairer comparison between greenhouse models. Normalization is carried out by dividing the raw score by the total score for each criterion. Finally, Table 5 presents the weighted scores and final scores for each greenhouse model. The weighted score is calculated by multiplying the normalized score by the weight of each criterion, reflecting the relative importance level of each criterion in determining the success of UDAWA system adoption.</w:t>
      </w:r>
    </w:p>
    <w:p w14:paraId="59F33703" w14:textId="77777777" w:rsidR="00F51085" w:rsidRDefault="007C4D6B">
      <w:pPr>
        <w:spacing w:after="120"/>
      </w:pPr>
      <w:r>
        <w:t>The analysis of the decision matrix reveals that greenhouse models GH3 and GH5 exhibit the highest relevance scores with the Gadadar variant of the UDAWA platform. GH3, operated under a market gardener business model and cultivating peppers, along with GH5, which implements an agri-tourism business model with strawberries as its commodity, demonstrate favorable compatibility in terms of connectivity, affordability, and integration. Conversely, the GH4 model, employing organic farming practices for tomato cultivation, indicates the lowest relevance. Although farmers utilizing the GH4 model express significant interest in open-source digitalization solutions, limited access to funding and digital resources constitutes a major obstacle to the implementation of the Gadadar variant of UDAWA.</w:t>
      </w:r>
    </w:p>
    <w:p w14:paraId="6292478E" w14:textId="1701BD00" w:rsidR="00F51085" w:rsidRDefault="007C4D6B">
      <w:pPr>
        <w:pStyle w:val="Caption"/>
        <w:spacing w:before="120" w:after="120"/>
      </w:pPr>
      <w:r>
        <w:rPr>
          <w:iCs/>
          <w:color w:val="000000"/>
          <w:szCs w:val="20"/>
        </w:rPr>
        <w:t xml:space="preserve">Table </w:t>
      </w:r>
      <w:r w:rsidR="00F51085">
        <w:rPr>
          <w:iCs/>
          <w:color w:val="000000"/>
          <w:szCs w:val="20"/>
        </w:rPr>
        <w:fldChar w:fldCharType="begin"/>
      </w:r>
      <w:r>
        <w:rPr>
          <w:iCs/>
          <w:color w:val="000000"/>
          <w:szCs w:val="20"/>
        </w:rPr>
        <w:instrText xml:space="preserve"> SEQ Tabel_ \* ARABIC </w:instrText>
      </w:r>
      <w:r w:rsidR="00F51085">
        <w:rPr>
          <w:iCs/>
          <w:color w:val="000000"/>
          <w:szCs w:val="20"/>
        </w:rPr>
        <w:fldChar w:fldCharType="separate"/>
      </w:r>
      <w:r w:rsidR="00C8313A">
        <w:rPr>
          <w:iCs/>
          <w:noProof/>
          <w:color w:val="000000"/>
          <w:szCs w:val="20"/>
        </w:rPr>
        <w:t>5</w:t>
      </w:r>
      <w:r w:rsidR="00F51085">
        <w:rPr>
          <w:iCs/>
          <w:color w:val="000000"/>
          <w:szCs w:val="20"/>
        </w:rPr>
        <w:fldChar w:fldCharType="end"/>
      </w:r>
      <w:r>
        <w:rPr>
          <w:iCs/>
          <w:color w:val="000000"/>
          <w:szCs w:val="20"/>
        </w:rPr>
        <w:t>.  Weighted score decision matrix for each greenhouse model</w:t>
      </w:r>
    </w:p>
    <w:tbl>
      <w:tblPr>
        <w:tblW w:w="4374" w:type="dxa"/>
        <w:jc w:val="center"/>
        <w:tblLayout w:type="fixed"/>
        <w:tblLook w:val="0000" w:firstRow="0" w:lastRow="0" w:firstColumn="0" w:lastColumn="0" w:noHBand="0" w:noVBand="0"/>
      </w:tblPr>
      <w:tblGrid>
        <w:gridCol w:w="732"/>
        <w:gridCol w:w="1188"/>
        <w:gridCol w:w="791"/>
        <w:gridCol w:w="1079"/>
        <w:gridCol w:w="584"/>
      </w:tblGrid>
      <w:tr w:rsidR="00F51085" w14:paraId="0AE9AA68" w14:textId="77777777">
        <w:trPr>
          <w:jc w:val="center"/>
        </w:trPr>
        <w:tc>
          <w:tcPr>
            <w:tcW w:w="732" w:type="dxa"/>
            <w:tcBorders>
              <w:top w:val="single" w:sz="12" w:space="0" w:color="000000"/>
              <w:bottom w:val="single" w:sz="4" w:space="0" w:color="000000"/>
            </w:tcBorders>
          </w:tcPr>
          <w:p w14:paraId="20CFF33F"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GH Model</w:t>
            </w:r>
          </w:p>
        </w:tc>
        <w:tc>
          <w:tcPr>
            <w:tcW w:w="1188" w:type="dxa"/>
            <w:tcBorders>
              <w:top w:val="single" w:sz="12" w:space="0" w:color="000000"/>
              <w:bottom w:val="single" w:sz="4" w:space="0" w:color="000000"/>
            </w:tcBorders>
          </w:tcPr>
          <w:p w14:paraId="64B37780"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C1 (Connectivity)</w:t>
            </w:r>
          </w:p>
        </w:tc>
        <w:tc>
          <w:tcPr>
            <w:tcW w:w="791" w:type="dxa"/>
            <w:tcBorders>
              <w:top w:val="single" w:sz="12" w:space="0" w:color="000000"/>
              <w:bottom w:val="single" w:sz="4" w:space="0" w:color="000000"/>
            </w:tcBorders>
          </w:tcPr>
          <w:p w14:paraId="53FC4B81" w14:textId="77777777" w:rsidR="00F51085" w:rsidRDefault="007C4D6B">
            <w:pPr>
              <w:pStyle w:val="TableCategories"/>
              <w:snapToGrid w:val="0"/>
              <w:jc w:val="center"/>
              <w:rPr>
                <w:rFonts w:ascii="Times New Roman" w:hAnsi="Times New Roman"/>
                <w:color w:val="000000"/>
                <w:szCs w:val="16"/>
                <w:lang w:val="en-US"/>
              </w:rPr>
            </w:pPr>
            <w:r>
              <w:rPr>
                <w:rFonts w:ascii="Times New Roman" w:hAnsi="Times New Roman"/>
                <w:color w:val="000000"/>
                <w:szCs w:val="16"/>
                <w:lang w:val="en-US"/>
              </w:rPr>
              <w:t>C2 (Affordability)</w:t>
            </w:r>
          </w:p>
        </w:tc>
        <w:tc>
          <w:tcPr>
            <w:tcW w:w="1079" w:type="dxa"/>
            <w:tcBorders>
              <w:top w:val="single" w:sz="12" w:space="0" w:color="000000"/>
              <w:bottom w:val="single" w:sz="4" w:space="0" w:color="000000"/>
            </w:tcBorders>
          </w:tcPr>
          <w:p w14:paraId="10E9842F" w14:textId="77777777" w:rsidR="00F51085" w:rsidRDefault="007C4D6B">
            <w:pPr>
              <w:pStyle w:val="TableCategories"/>
              <w:snapToGrid w:val="0"/>
              <w:jc w:val="center"/>
              <w:rPr>
                <w:rFonts w:ascii="Times New Roman" w:hAnsi="Times New Roman"/>
              </w:rPr>
            </w:pPr>
            <w:r>
              <w:rPr>
                <w:rFonts w:ascii="Times New Roman" w:hAnsi="Times New Roman"/>
              </w:rPr>
              <w:t>C3 (Integration)</w:t>
            </w:r>
          </w:p>
        </w:tc>
        <w:tc>
          <w:tcPr>
            <w:tcW w:w="584" w:type="dxa"/>
            <w:tcBorders>
              <w:top w:val="single" w:sz="12" w:space="0" w:color="000000"/>
              <w:bottom w:val="single" w:sz="4" w:space="0" w:color="000000"/>
            </w:tcBorders>
          </w:tcPr>
          <w:p w14:paraId="6980BD43" w14:textId="77777777" w:rsidR="00F51085" w:rsidRDefault="007C4D6B">
            <w:pPr>
              <w:pStyle w:val="TableCategories"/>
              <w:snapToGrid w:val="0"/>
              <w:jc w:val="center"/>
              <w:rPr>
                <w:rFonts w:ascii="Times New Roman" w:hAnsi="Times New Roman"/>
              </w:rPr>
            </w:pPr>
            <w:r>
              <w:rPr>
                <w:rFonts w:ascii="Times New Roman" w:hAnsi="Times New Roman"/>
              </w:rPr>
              <w:t>Final Score</w:t>
            </w:r>
          </w:p>
        </w:tc>
      </w:tr>
      <w:tr w:rsidR="00F51085" w14:paraId="01D9EDFB" w14:textId="77777777">
        <w:trPr>
          <w:jc w:val="center"/>
        </w:trPr>
        <w:tc>
          <w:tcPr>
            <w:tcW w:w="732" w:type="dxa"/>
            <w:tcBorders>
              <w:top w:val="single" w:sz="4" w:space="0" w:color="000000"/>
            </w:tcBorders>
          </w:tcPr>
          <w:p w14:paraId="413AFCF2"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GH1</w:t>
            </w:r>
          </w:p>
        </w:tc>
        <w:tc>
          <w:tcPr>
            <w:tcW w:w="1188" w:type="dxa"/>
            <w:tcBorders>
              <w:top w:val="single" w:sz="4" w:space="0" w:color="000000"/>
            </w:tcBorders>
          </w:tcPr>
          <w:p w14:paraId="0F06AD5A" w14:textId="77777777" w:rsidR="00F51085" w:rsidRDefault="007C4D6B">
            <w:pPr>
              <w:pStyle w:val="TableCaption"/>
              <w:snapToGrid w:val="0"/>
              <w:jc w:val="center"/>
              <w:rPr>
                <w:rFonts w:ascii="Times New Roman" w:hAnsi="Times New Roman"/>
              </w:rPr>
            </w:pPr>
            <w:r>
              <w:rPr>
                <w:rFonts w:ascii="Times New Roman" w:hAnsi="Times New Roman"/>
              </w:rPr>
              <w:t>0.11</w:t>
            </w:r>
          </w:p>
        </w:tc>
        <w:tc>
          <w:tcPr>
            <w:tcW w:w="791" w:type="dxa"/>
            <w:tcBorders>
              <w:top w:val="single" w:sz="4" w:space="0" w:color="000000"/>
            </w:tcBorders>
          </w:tcPr>
          <w:p w14:paraId="0E351C95"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0.06</w:t>
            </w:r>
          </w:p>
        </w:tc>
        <w:tc>
          <w:tcPr>
            <w:tcW w:w="1079" w:type="dxa"/>
            <w:tcBorders>
              <w:top w:val="single" w:sz="4" w:space="0" w:color="000000"/>
            </w:tcBorders>
          </w:tcPr>
          <w:p w14:paraId="26962D2A" w14:textId="77777777" w:rsidR="00F51085" w:rsidRDefault="007C4D6B">
            <w:pPr>
              <w:pStyle w:val="TableCaption"/>
              <w:snapToGrid w:val="0"/>
              <w:jc w:val="center"/>
              <w:rPr>
                <w:rFonts w:ascii="Times New Roman" w:hAnsi="Times New Roman"/>
              </w:rPr>
            </w:pPr>
            <w:r>
              <w:rPr>
                <w:rFonts w:ascii="Times New Roman" w:hAnsi="Times New Roman"/>
              </w:rPr>
              <w:t>0.05</w:t>
            </w:r>
          </w:p>
        </w:tc>
        <w:tc>
          <w:tcPr>
            <w:tcW w:w="584" w:type="dxa"/>
            <w:tcBorders>
              <w:top w:val="single" w:sz="4" w:space="0" w:color="000000"/>
            </w:tcBorders>
          </w:tcPr>
          <w:p w14:paraId="6A4F5E1A" w14:textId="77777777" w:rsidR="00F51085" w:rsidRDefault="007C4D6B">
            <w:pPr>
              <w:pStyle w:val="TableCaption"/>
              <w:snapToGrid w:val="0"/>
              <w:jc w:val="center"/>
              <w:rPr>
                <w:rFonts w:ascii="Times New Roman" w:hAnsi="Times New Roman"/>
              </w:rPr>
            </w:pPr>
            <w:r>
              <w:rPr>
                <w:rFonts w:ascii="Times New Roman" w:hAnsi="Times New Roman"/>
              </w:rPr>
              <w:t>0.21</w:t>
            </w:r>
          </w:p>
        </w:tc>
      </w:tr>
      <w:tr w:rsidR="00F51085" w14:paraId="693E0B00" w14:textId="77777777">
        <w:trPr>
          <w:jc w:val="center"/>
        </w:trPr>
        <w:tc>
          <w:tcPr>
            <w:tcW w:w="732" w:type="dxa"/>
          </w:tcPr>
          <w:p w14:paraId="208B6431"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GH2</w:t>
            </w:r>
          </w:p>
        </w:tc>
        <w:tc>
          <w:tcPr>
            <w:tcW w:w="1188" w:type="dxa"/>
          </w:tcPr>
          <w:p w14:paraId="1E8F7383"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0.06</w:t>
            </w:r>
          </w:p>
        </w:tc>
        <w:tc>
          <w:tcPr>
            <w:tcW w:w="791" w:type="dxa"/>
          </w:tcPr>
          <w:p w14:paraId="004F2C8E" w14:textId="77777777" w:rsidR="00F51085" w:rsidRDefault="007C4D6B">
            <w:pPr>
              <w:pStyle w:val="TableCaption"/>
              <w:snapToGrid w:val="0"/>
              <w:jc w:val="center"/>
              <w:rPr>
                <w:rFonts w:ascii="Times New Roman" w:hAnsi="Times New Roman"/>
                <w:color w:val="000000"/>
                <w:szCs w:val="16"/>
                <w:lang w:val="en-US"/>
              </w:rPr>
            </w:pPr>
            <w:r>
              <w:rPr>
                <w:rFonts w:ascii="Times New Roman" w:hAnsi="Times New Roman"/>
                <w:color w:val="000000"/>
                <w:szCs w:val="16"/>
                <w:lang w:val="en-US"/>
              </w:rPr>
              <w:t>0.06</w:t>
            </w:r>
          </w:p>
        </w:tc>
        <w:tc>
          <w:tcPr>
            <w:tcW w:w="1079" w:type="dxa"/>
          </w:tcPr>
          <w:p w14:paraId="786CED65" w14:textId="77777777" w:rsidR="00F51085" w:rsidRDefault="007C4D6B">
            <w:pPr>
              <w:pStyle w:val="TableCaption"/>
              <w:snapToGrid w:val="0"/>
              <w:jc w:val="center"/>
              <w:rPr>
                <w:rFonts w:ascii="Times New Roman" w:hAnsi="Times New Roman"/>
              </w:rPr>
            </w:pPr>
            <w:r>
              <w:rPr>
                <w:rFonts w:ascii="Times New Roman" w:hAnsi="Times New Roman"/>
              </w:rPr>
              <w:t>0.05</w:t>
            </w:r>
          </w:p>
        </w:tc>
        <w:tc>
          <w:tcPr>
            <w:tcW w:w="584" w:type="dxa"/>
          </w:tcPr>
          <w:p w14:paraId="05DC232C" w14:textId="77777777" w:rsidR="00F51085" w:rsidRDefault="007C4D6B">
            <w:pPr>
              <w:pStyle w:val="TableCaption"/>
              <w:snapToGrid w:val="0"/>
              <w:jc w:val="center"/>
              <w:rPr>
                <w:rFonts w:ascii="Times New Roman" w:hAnsi="Times New Roman"/>
              </w:rPr>
            </w:pPr>
            <w:r>
              <w:rPr>
                <w:rFonts w:ascii="Times New Roman" w:hAnsi="Times New Roman"/>
              </w:rPr>
              <w:t>0.17</w:t>
            </w:r>
          </w:p>
        </w:tc>
      </w:tr>
      <w:tr w:rsidR="00F51085" w14:paraId="4FF98B28" w14:textId="77777777">
        <w:trPr>
          <w:jc w:val="center"/>
        </w:trPr>
        <w:tc>
          <w:tcPr>
            <w:tcW w:w="732" w:type="dxa"/>
          </w:tcPr>
          <w:p w14:paraId="0C38EBCD" w14:textId="77777777" w:rsidR="00F51085" w:rsidRDefault="007C4D6B">
            <w:pPr>
              <w:pStyle w:val="TableCaption"/>
              <w:snapToGrid w:val="0"/>
              <w:jc w:val="center"/>
              <w:rPr>
                <w:rFonts w:ascii="Times New Roman" w:hAnsi="Times New Roman"/>
              </w:rPr>
            </w:pPr>
            <w:r>
              <w:rPr>
                <w:rFonts w:ascii="Times New Roman" w:hAnsi="Times New Roman"/>
              </w:rPr>
              <w:t>GH3</w:t>
            </w:r>
          </w:p>
        </w:tc>
        <w:tc>
          <w:tcPr>
            <w:tcW w:w="1188" w:type="dxa"/>
          </w:tcPr>
          <w:p w14:paraId="7EBAC10E" w14:textId="77777777" w:rsidR="00F51085" w:rsidRDefault="007C4D6B">
            <w:pPr>
              <w:pStyle w:val="TableCaption"/>
              <w:snapToGrid w:val="0"/>
              <w:jc w:val="center"/>
              <w:rPr>
                <w:rFonts w:ascii="Times New Roman" w:hAnsi="Times New Roman"/>
              </w:rPr>
            </w:pPr>
            <w:r>
              <w:rPr>
                <w:rFonts w:ascii="Times New Roman" w:hAnsi="Times New Roman"/>
              </w:rPr>
              <w:t>0.11</w:t>
            </w:r>
          </w:p>
        </w:tc>
        <w:tc>
          <w:tcPr>
            <w:tcW w:w="791" w:type="dxa"/>
          </w:tcPr>
          <w:p w14:paraId="5D8D2F05" w14:textId="77777777" w:rsidR="00F51085" w:rsidRDefault="007C4D6B">
            <w:pPr>
              <w:pStyle w:val="TableCaption"/>
              <w:snapToGrid w:val="0"/>
              <w:jc w:val="center"/>
              <w:rPr>
                <w:rFonts w:ascii="Times New Roman" w:hAnsi="Times New Roman"/>
              </w:rPr>
            </w:pPr>
            <w:r>
              <w:rPr>
                <w:rFonts w:ascii="Times New Roman" w:hAnsi="Times New Roman"/>
              </w:rPr>
              <w:t>0.08</w:t>
            </w:r>
          </w:p>
        </w:tc>
        <w:tc>
          <w:tcPr>
            <w:tcW w:w="1079" w:type="dxa"/>
          </w:tcPr>
          <w:p w14:paraId="0C51B341" w14:textId="77777777" w:rsidR="00F51085" w:rsidRDefault="007C4D6B">
            <w:pPr>
              <w:pStyle w:val="TableCaption"/>
              <w:snapToGrid w:val="0"/>
              <w:jc w:val="center"/>
              <w:rPr>
                <w:rFonts w:ascii="Times New Roman" w:hAnsi="Times New Roman"/>
              </w:rPr>
            </w:pPr>
            <w:r>
              <w:rPr>
                <w:rFonts w:ascii="Times New Roman" w:hAnsi="Times New Roman"/>
              </w:rPr>
              <w:t>0.09</w:t>
            </w:r>
          </w:p>
        </w:tc>
        <w:tc>
          <w:tcPr>
            <w:tcW w:w="584" w:type="dxa"/>
          </w:tcPr>
          <w:p w14:paraId="35566F53" w14:textId="77777777" w:rsidR="00F51085" w:rsidRDefault="007C4D6B">
            <w:pPr>
              <w:pStyle w:val="TableCaption"/>
              <w:snapToGrid w:val="0"/>
              <w:jc w:val="center"/>
              <w:rPr>
                <w:rFonts w:ascii="Times New Roman" w:hAnsi="Times New Roman"/>
              </w:rPr>
            </w:pPr>
            <w:r>
              <w:rPr>
                <w:rFonts w:ascii="Times New Roman" w:hAnsi="Times New Roman"/>
              </w:rPr>
              <w:t>0.27</w:t>
            </w:r>
          </w:p>
        </w:tc>
      </w:tr>
      <w:tr w:rsidR="00F51085" w14:paraId="31F9EC12" w14:textId="77777777">
        <w:trPr>
          <w:jc w:val="center"/>
        </w:trPr>
        <w:tc>
          <w:tcPr>
            <w:tcW w:w="732" w:type="dxa"/>
          </w:tcPr>
          <w:p w14:paraId="335C6CBA" w14:textId="77777777" w:rsidR="00F51085" w:rsidRDefault="007C4D6B">
            <w:pPr>
              <w:pStyle w:val="TableCaption"/>
              <w:snapToGrid w:val="0"/>
              <w:jc w:val="center"/>
              <w:rPr>
                <w:rFonts w:ascii="Times New Roman" w:hAnsi="Times New Roman"/>
              </w:rPr>
            </w:pPr>
            <w:r>
              <w:rPr>
                <w:rFonts w:ascii="Times New Roman" w:hAnsi="Times New Roman"/>
              </w:rPr>
              <w:t>GH4</w:t>
            </w:r>
          </w:p>
        </w:tc>
        <w:tc>
          <w:tcPr>
            <w:tcW w:w="1188" w:type="dxa"/>
          </w:tcPr>
          <w:p w14:paraId="7BC3E453" w14:textId="77777777" w:rsidR="00F51085" w:rsidRDefault="007C4D6B">
            <w:pPr>
              <w:pStyle w:val="TableCaption"/>
              <w:snapToGrid w:val="0"/>
              <w:jc w:val="center"/>
              <w:rPr>
                <w:rFonts w:ascii="Times New Roman" w:hAnsi="Times New Roman"/>
              </w:rPr>
            </w:pPr>
            <w:r>
              <w:rPr>
                <w:rFonts w:ascii="Times New Roman" w:hAnsi="Times New Roman"/>
              </w:rPr>
              <w:t>0.02</w:t>
            </w:r>
          </w:p>
        </w:tc>
        <w:tc>
          <w:tcPr>
            <w:tcW w:w="791" w:type="dxa"/>
          </w:tcPr>
          <w:p w14:paraId="251B2C4E" w14:textId="77777777" w:rsidR="00F51085" w:rsidRDefault="007C4D6B">
            <w:pPr>
              <w:pStyle w:val="TableCaption"/>
              <w:snapToGrid w:val="0"/>
              <w:jc w:val="center"/>
              <w:rPr>
                <w:rFonts w:ascii="Times New Roman" w:hAnsi="Times New Roman"/>
              </w:rPr>
            </w:pPr>
            <w:r>
              <w:rPr>
                <w:rFonts w:ascii="Times New Roman" w:hAnsi="Times New Roman"/>
              </w:rPr>
              <w:t>0.02</w:t>
            </w:r>
          </w:p>
        </w:tc>
        <w:tc>
          <w:tcPr>
            <w:tcW w:w="1079" w:type="dxa"/>
          </w:tcPr>
          <w:p w14:paraId="1E7F7265" w14:textId="77777777" w:rsidR="00F51085" w:rsidRDefault="007C4D6B">
            <w:pPr>
              <w:pStyle w:val="TableCaption"/>
              <w:snapToGrid w:val="0"/>
              <w:jc w:val="center"/>
              <w:rPr>
                <w:rFonts w:ascii="Times New Roman" w:hAnsi="Times New Roman"/>
              </w:rPr>
            </w:pPr>
            <w:r>
              <w:rPr>
                <w:rFonts w:ascii="Times New Roman" w:hAnsi="Times New Roman"/>
              </w:rPr>
              <w:t>0.04</w:t>
            </w:r>
          </w:p>
        </w:tc>
        <w:tc>
          <w:tcPr>
            <w:tcW w:w="584" w:type="dxa"/>
          </w:tcPr>
          <w:p w14:paraId="1A54602A" w14:textId="77777777" w:rsidR="00F51085" w:rsidRDefault="007C4D6B">
            <w:pPr>
              <w:pStyle w:val="TableCaption"/>
              <w:snapToGrid w:val="0"/>
              <w:jc w:val="center"/>
              <w:rPr>
                <w:rFonts w:ascii="Times New Roman" w:hAnsi="Times New Roman"/>
              </w:rPr>
            </w:pPr>
            <w:r>
              <w:rPr>
                <w:rFonts w:ascii="Times New Roman" w:hAnsi="Times New Roman"/>
              </w:rPr>
              <w:t>0.08</w:t>
            </w:r>
          </w:p>
        </w:tc>
      </w:tr>
      <w:tr w:rsidR="00F51085" w14:paraId="2E4C241A" w14:textId="77777777">
        <w:trPr>
          <w:jc w:val="center"/>
        </w:trPr>
        <w:tc>
          <w:tcPr>
            <w:tcW w:w="732" w:type="dxa"/>
          </w:tcPr>
          <w:p w14:paraId="5BE24CF3" w14:textId="77777777" w:rsidR="00F51085" w:rsidRDefault="007C4D6B">
            <w:pPr>
              <w:pStyle w:val="TableCaption"/>
              <w:snapToGrid w:val="0"/>
              <w:jc w:val="center"/>
              <w:rPr>
                <w:rFonts w:ascii="Times New Roman" w:hAnsi="Times New Roman"/>
              </w:rPr>
            </w:pPr>
            <w:r>
              <w:rPr>
                <w:rFonts w:ascii="Times New Roman" w:hAnsi="Times New Roman"/>
              </w:rPr>
              <w:t>GH5</w:t>
            </w:r>
          </w:p>
        </w:tc>
        <w:tc>
          <w:tcPr>
            <w:tcW w:w="1188" w:type="dxa"/>
          </w:tcPr>
          <w:p w14:paraId="13AEDB06" w14:textId="77777777" w:rsidR="00F51085" w:rsidRDefault="007C4D6B">
            <w:pPr>
              <w:pStyle w:val="TableCaption"/>
              <w:snapToGrid w:val="0"/>
              <w:jc w:val="center"/>
              <w:rPr>
                <w:rFonts w:ascii="Times New Roman" w:hAnsi="Times New Roman"/>
              </w:rPr>
            </w:pPr>
            <w:r>
              <w:rPr>
                <w:rFonts w:ascii="Times New Roman" w:hAnsi="Times New Roman"/>
              </w:rPr>
              <w:t>0.11</w:t>
            </w:r>
          </w:p>
        </w:tc>
        <w:tc>
          <w:tcPr>
            <w:tcW w:w="791" w:type="dxa"/>
          </w:tcPr>
          <w:p w14:paraId="3615395E" w14:textId="77777777" w:rsidR="00F51085" w:rsidRDefault="007C4D6B">
            <w:pPr>
              <w:pStyle w:val="TableCaption"/>
              <w:snapToGrid w:val="0"/>
              <w:jc w:val="center"/>
              <w:rPr>
                <w:rFonts w:ascii="Times New Roman" w:hAnsi="Times New Roman"/>
              </w:rPr>
            </w:pPr>
            <w:r>
              <w:rPr>
                <w:rFonts w:ascii="Times New Roman" w:hAnsi="Times New Roman"/>
              </w:rPr>
              <w:t>0.09</w:t>
            </w:r>
          </w:p>
        </w:tc>
        <w:tc>
          <w:tcPr>
            <w:tcW w:w="1079" w:type="dxa"/>
          </w:tcPr>
          <w:p w14:paraId="674689DD" w14:textId="77777777" w:rsidR="00F51085" w:rsidRDefault="007C4D6B">
            <w:pPr>
              <w:pStyle w:val="TableCaption"/>
              <w:snapToGrid w:val="0"/>
              <w:jc w:val="center"/>
              <w:rPr>
                <w:rFonts w:ascii="Times New Roman" w:hAnsi="Times New Roman"/>
              </w:rPr>
            </w:pPr>
            <w:r>
              <w:rPr>
                <w:rFonts w:ascii="Times New Roman" w:hAnsi="Times New Roman"/>
              </w:rPr>
              <w:t>0.07</w:t>
            </w:r>
          </w:p>
        </w:tc>
        <w:tc>
          <w:tcPr>
            <w:tcW w:w="584" w:type="dxa"/>
          </w:tcPr>
          <w:p w14:paraId="1823BE67" w14:textId="77777777" w:rsidR="00F51085" w:rsidRDefault="007C4D6B">
            <w:pPr>
              <w:pStyle w:val="TableCaption"/>
              <w:snapToGrid w:val="0"/>
              <w:jc w:val="center"/>
              <w:rPr>
                <w:rFonts w:ascii="Times New Roman" w:hAnsi="Times New Roman"/>
              </w:rPr>
            </w:pPr>
            <w:r>
              <w:rPr>
                <w:rFonts w:ascii="Times New Roman" w:hAnsi="Times New Roman"/>
              </w:rPr>
              <w:t>0.27</w:t>
            </w:r>
          </w:p>
        </w:tc>
      </w:tr>
      <w:tr w:rsidR="00F51085" w14:paraId="08460CE1" w14:textId="77777777">
        <w:trPr>
          <w:jc w:val="center"/>
        </w:trPr>
        <w:tc>
          <w:tcPr>
            <w:tcW w:w="732" w:type="dxa"/>
            <w:tcBorders>
              <w:bottom w:val="single" w:sz="4" w:space="0" w:color="000000"/>
            </w:tcBorders>
            <w:tcMar>
              <w:top w:w="55" w:type="dxa"/>
              <w:bottom w:w="55" w:type="dxa"/>
            </w:tcMar>
          </w:tcPr>
          <w:p w14:paraId="3A11B324" w14:textId="77777777" w:rsidR="00F51085" w:rsidRDefault="007C4D6B">
            <w:pPr>
              <w:snapToGrid w:val="0"/>
              <w:spacing w:after="0"/>
              <w:jc w:val="center"/>
              <w:rPr>
                <w:color w:val="000000"/>
                <w:sz w:val="16"/>
                <w:szCs w:val="16"/>
              </w:rPr>
            </w:pPr>
            <w:r>
              <w:rPr>
                <w:color w:val="000000"/>
                <w:sz w:val="16"/>
                <w:szCs w:val="16"/>
              </w:rPr>
              <w:t>Weight</w:t>
            </w:r>
          </w:p>
        </w:tc>
        <w:tc>
          <w:tcPr>
            <w:tcW w:w="1188" w:type="dxa"/>
            <w:tcBorders>
              <w:bottom w:val="single" w:sz="4" w:space="0" w:color="000000"/>
            </w:tcBorders>
            <w:tcMar>
              <w:top w:w="55" w:type="dxa"/>
              <w:bottom w:w="55" w:type="dxa"/>
            </w:tcMar>
          </w:tcPr>
          <w:p w14:paraId="541240AC" w14:textId="77777777" w:rsidR="00F51085" w:rsidRDefault="007C4D6B">
            <w:pPr>
              <w:snapToGrid w:val="0"/>
              <w:spacing w:after="0"/>
              <w:jc w:val="center"/>
              <w:rPr>
                <w:color w:val="000000"/>
                <w:sz w:val="16"/>
                <w:szCs w:val="16"/>
              </w:rPr>
            </w:pPr>
            <w:r>
              <w:rPr>
                <w:color w:val="000000"/>
                <w:sz w:val="16"/>
                <w:szCs w:val="16"/>
              </w:rPr>
              <w:t>0.40</w:t>
            </w:r>
          </w:p>
        </w:tc>
        <w:tc>
          <w:tcPr>
            <w:tcW w:w="791" w:type="dxa"/>
            <w:tcBorders>
              <w:bottom w:val="single" w:sz="4" w:space="0" w:color="000000"/>
            </w:tcBorders>
            <w:tcMar>
              <w:top w:w="55" w:type="dxa"/>
              <w:bottom w:w="55" w:type="dxa"/>
            </w:tcMar>
          </w:tcPr>
          <w:p w14:paraId="5B47E318" w14:textId="77777777" w:rsidR="00F51085" w:rsidRDefault="007C4D6B">
            <w:pPr>
              <w:snapToGrid w:val="0"/>
              <w:spacing w:after="0"/>
              <w:jc w:val="center"/>
              <w:rPr>
                <w:color w:val="000000"/>
                <w:sz w:val="16"/>
                <w:szCs w:val="16"/>
              </w:rPr>
            </w:pPr>
            <w:r>
              <w:rPr>
                <w:color w:val="000000"/>
                <w:sz w:val="16"/>
                <w:szCs w:val="16"/>
              </w:rPr>
              <w:t>0.30</w:t>
            </w:r>
          </w:p>
        </w:tc>
        <w:tc>
          <w:tcPr>
            <w:tcW w:w="1079" w:type="dxa"/>
            <w:tcBorders>
              <w:bottom w:val="single" w:sz="4" w:space="0" w:color="000000"/>
            </w:tcBorders>
            <w:tcMar>
              <w:top w:w="55" w:type="dxa"/>
              <w:bottom w:w="55" w:type="dxa"/>
            </w:tcMar>
          </w:tcPr>
          <w:p w14:paraId="6FDFFD09" w14:textId="77777777" w:rsidR="00F51085" w:rsidRDefault="007C4D6B">
            <w:pPr>
              <w:pStyle w:val="TableCaption"/>
              <w:snapToGrid w:val="0"/>
              <w:jc w:val="center"/>
              <w:rPr>
                <w:rFonts w:ascii="Times New Roman" w:hAnsi="Times New Roman"/>
              </w:rPr>
            </w:pPr>
            <w:r>
              <w:rPr>
                <w:rFonts w:ascii="Times New Roman" w:hAnsi="Times New Roman"/>
              </w:rPr>
              <w:t>0.30</w:t>
            </w:r>
          </w:p>
        </w:tc>
        <w:tc>
          <w:tcPr>
            <w:tcW w:w="584" w:type="dxa"/>
            <w:tcBorders>
              <w:bottom w:val="single" w:sz="4" w:space="0" w:color="000000"/>
            </w:tcBorders>
            <w:tcMar>
              <w:top w:w="55" w:type="dxa"/>
              <w:bottom w:w="55" w:type="dxa"/>
            </w:tcMar>
          </w:tcPr>
          <w:p w14:paraId="7EFB42FE" w14:textId="77777777" w:rsidR="00F51085" w:rsidRDefault="007C4D6B">
            <w:pPr>
              <w:pStyle w:val="TableCaption"/>
              <w:snapToGrid w:val="0"/>
              <w:jc w:val="center"/>
              <w:rPr>
                <w:rFonts w:ascii="Times New Roman" w:hAnsi="Times New Roman"/>
              </w:rPr>
            </w:pPr>
            <w:r>
              <w:rPr>
                <w:rFonts w:ascii="Times New Roman" w:hAnsi="Times New Roman"/>
              </w:rPr>
              <w:t>1</w:t>
            </w:r>
          </w:p>
        </w:tc>
      </w:tr>
    </w:tbl>
    <w:p w14:paraId="0268B7EF" w14:textId="77777777" w:rsidR="00F51085" w:rsidRDefault="007C4D6B">
      <w:pPr>
        <w:pStyle w:val="Heading2"/>
        <w:spacing w:before="120" w:after="120"/>
        <w:rPr>
          <w:iCs/>
        </w:rPr>
      </w:pPr>
      <w:r>
        <w:rPr>
          <w:iCs/>
          <w:color w:val="000000"/>
          <w:szCs w:val="20"/>
        </w:rPr>
        <w:t>3.4 System Limitations and Implementation Challenges</w:t>
      </w:r>
    </w:p>
    <w:p w14:paraId="7848C30D" w14:textId="77777777" w:rsidR="008E4DEA" w:rsidRDefault="007C4D6B">
      <w:pPr>
        <w:pStyle w:val="BodyText"/>
      </w:pPr>
      <w:r>
        <w:t xml:space="preserve">It is essential to acknowledge that this study has certain limitations.  Primarily, only one agent was implemented to showcase the proposed architecture, with Tiers 2 and 3 only partially implemented.  This limitation impacted the depth of the multicase study analysis, as comprehensive validation involving direct feedback from farmers across all tiers was not feasible in the early stages of UDAWA platform development.  </w:t>
      </w:r>
    </w:p>
    <w:p w14:paraId="0664F50A" w14:textId="752A7148" w:rsidR="00F51085" w:rsidRDefault="007C4D6B">
      <w:pPr>
        <w:pStyle w:val="BodyText"/>
      </w:pPr>
      <w:r>
        <w:t>Future research will prioritize expanding the implementation to encompass multiple agents and complete the development of Tiers 2 and 3, enabling a more thorough evaluation of the system's functionality, interoperability, and scalability in diverse real-world settings.  Additionally, while the decision matrix analysis provided valuable insights into the potential adoption of the UDAWA platform, it is crucial to acknowledge the inherent subjectivity in the assessment process, particularly regarding affordability and integration criteria.</w:t>
      </w:r>
    </w:p>
    <w:p w14:paraId="6A19305D" w14:textId="77777777" w:rsidR="00F51085" w:rsidRDefault="007C4D6B">
      <w:pPr>
        <w:pStyle w:val="Heading1"/>
        <w:tabs>
          <w:tab w:val="left" w:pos="284"/>
        </w:tabs>
      </w:pPr>
      <w:r>
        <w:t xml:space="preserve">4. </w:t>
      </w:r>
      <w:r>
        <w:rPr>
          <w:color w:val="000000"/>
        </w:rPr>
        <w:t>Conclusions</w:t>
      </w:r>
    </w:p>
    <w:p w14:paraId="6361454D" w14:textId="77777777" w:rsidR="00F51085" w:rsidRDefault="007C4D6B">
      <w:pPr>
        <w:pStyle w:val="BodyText"/>
      </w:pPr>
      <w:r>
        <w:t>This research successfully designed and developed an intelligent system platform called UDAWA (Universal Digital Agriculture Workflow Assistant) for the digitalization of small-scale greenhouses. UDAWA Gadadar, the first variant of this platform, has been implemented as a cyber-physical agent that allows greenhouse instruments, such as pumps, blowers, and lamps, to be digitally controlled and monitored. Test results indicate that UDAWA Gadadar exhibits good performance and cost-effectiveness, making it relatively affordable for small-scale farmers. A multicase study analysis demonstrates that this platform has high relevance for adoption in various greenhouse models.</w:t>
      </w:r>
    </w:p>
    <w:p w14:paraId="25AC909D" w14:textId="77777777" w:rsidR="00F51085" w:rsidRDefault="007C4D6B">
      <w:pPr>
        <w:pStyle w:val="BodyText"/>
      </w:pPr>
      <w:r>
        <w:t xml:space="preserve">Further development of the UDAWA platform will focus on developing other physical agent variants, such as hydroponic water condition monitors, microclimate monitors, and visual sensor agents for disease and pest detection. Additionally, the development of a digital twin will be prioritized to enable risk-free and low-cost cultivation simulations, thereby assisting small-scale farmers in optimizing cultivation strategies and increasing productivity. </w:t>
      </w:r>
      <w:r>
        <w:rPr>
          <w:color w:val="000000"/>
        </w:rPr>
        <w:t xml:space="preserve">   </w:t>
      </w:r>
    </w:p>
    <w:p w14:paraId="68349141" w14:textId="77777777" w:rsidR="00F51085" w:rsidRDefault="007C4D6B">
      <w:pPr>
        <w:rPr>
          <w:b/>
          <w:bCs/>
        </w:rPr>
      </w:pPr>
      <w:r>
        <w:rPr>
          <w:b/>
          <w:bCs/>
        </w:rPr>
        <w:t xml:space="preserve">Acknowledgements </w:t>
      </w:r>
    </w:p>
    <w:p w14:paraId="43B5499F" w14:textId="77777777" w:rsidR="00F51085" w:rsidRDefault="007C4D6B">
      <w:pPr>
        <w:rPr>
          <w:color w:val="000000"/>
        </w:rPr>
      </w:pPr>
      <w:r>
        <w:rPr>
          <w:color w:val="000000"/>
        </w:rPr>
        <w:t xml:space="preserve">This research was funded by the Ministry of Education, Culture, Research, and Technology of the Republic of Indonesia and the Universitas Pendidikan Nasional based on Decree No. 110/E5/PG.02.00.PL/2024 and Agreement/Contract No. 2927/LL8/AL.04/2024. </w:t>
      </w:r>
    </w:p>
    <w:p w14:paraId="1CD63EE4" w14:textId="77777777" w:rsidR="00F51085" w:rsidRDefault="007C4D6B">
      <w:pPr>
        <w:pStyle w:val="Heading1"/>
        <w:tabs>
          <w:tab w:val="left" w:pos="284"/>
        </w:tabs>
        <w:rPr>
          <w:lang w:val="id-ID"/>
        </w:rPr>
      </w:pPr>
      <w:r>
        <w:t>Reference</w:t>
      </w:r>
      <w:r>
        <w:rPr>
          <w:lang w:val="id-ID"/>
        </w:rPr>
        <w:t>s</w:t>
      </w:r>
    </w:p>
    <w:p w14:paraId="62377A68" w14:textId="77777777" w:rsidR="00900F7D" w:rsidRPr="00900F7D" w:rsidRDefault="00900F7D" w:rsidP="0091690C">
      <w:pPr>
        <w:pStyle w:val="Bibliography"/>
        <w:spacing w:after="0"/>
        <w:ind w:left="426" w:hanging="426"/>
        <w:rPr>
          <w:sz w:val="16"/>
        </w:rPr>
      </w:pPr>
      <w:bookmarkStart w:id="31" w:name="ZOTERO_BREF_62kqEruiTovK"/>
      <w:r w:rsidRPr="00900F7D">
        <w:rPr>
          <w:sz w:val="16"/>
        </w:rPr>
        <w:t>[1]</w:t>
      </w:r>
      <w:r w:rsidRPr="00900F7D">
        <w:rPr>
          <w:sz w:val="16"/>
        </w:rPr>
        <w:tab/>
        <w:t xml:space="preserve">Á. J. Pastrana-Pastrana, R. Rodríguez-Herrera, J. F. Solanilla-Duque, and A. C. Flores-Gallegos, “Plant proteins, insects, edible mushrooms and algae: more sustainable alternatives to conventional animal protein,” </w:t>
      </w:r>
      <w:r w:rsidRPr="00900F7D">
        <w:rPr>
          <w:i/>
          <w:iCs/>
          <w:sz w:val="16"/>
        </w:rPr>
        <w:t>Journal of Future Foods</w:t>
      </w:r>
      <w:r w:rsidRPr="00900F7D">
        <w:rPr>
          <w:sz w:val="16"/>
        </w:rPr>
        <w:t>, vol. 5, no. 3, pp. 248–256, May 2025, doi: 10.1016/j.jfutfo.2024.07.004.</w:t>
      </w:r>
    </w:p>
    <w:p w14:paraId="055FCFDC" w14:textId="77777777" w:rsidR="00900F7D" w:rsidRPr="00900F7D" w:rsidRDefault="00900F7D" w:rsidP="0091690C">
      <w:pPr>
        <w:pStyle w:val="Bibliography"/>
        <w:spacing w:after="0"/>
        <w:ind w:left="426" w:hanging="426"/>
        <w:rPr>
          <w:sz w:val="16"/>
        </w:rPr>
      </w:pPr>
      <w:r w:rsidRPr="00900F7D">
        <w:rPr>
          <w:sz w:val="16"/>
        </w:rPr>
        <w:t>[2]</w:t>
      </w:r>
      <w:r w:rsidRPr="00900F7D">
        <w:rPr>
          <w:sz w:val="16"/>
        </w:rPr>
        <w:tab/>
        <w:t xml:space="preserve">D. Ortiz-Miranda </w:t>
      </w:r>
      <w:r w:rsidRPr="00900F7D">
        <w:rPr>
          <w:i/>
          <w:iCs/>
          <w:sz w:val="16"/>
        </w:rPr>
        <w:t>et al.</w:t>
      </w:r>
      <w:r w:rsidRPr="00900F7D">
        <w:rPr>
          <w:sz w:val="16"/>
        </w:rPr>
        <w:t xml:space="preserve">, “The future of small farms and small food businesses as actors in regional food security: A participatory scenario analysis from Europe and Africa,” </w:t>
      </w:r>
      <w:r w:rsidRPr="00900F7D">
        <w:rPr>
          <w:i/>
          <w:iCs/>
          <w:sz w:val="16"/>
        </w:rPr>
        <w:t>Journal of Rural Studies</w:t>
      </w:r>
      <w:r w:rsidRPr="00900F7D">
        <w:rPr>
          <w:sz w:val="16"/>
        </w:rPr>
        <w:t>, vol. 95, pp. 326–335, Oct. 2022, doi: 10.1016/j.jrurstud.2022.09.006.</w:t>
      </w:r>
    </w:p>
    <w:p w14:paraId="47B5E9DD" w14:textId="77777777" w:rsidR="00900F7D" w:rsidRPr="00900F7D" w:rsidRDefault="00900F7D" w:rsidP="0091690C">
      <w:pPr>
        <w:pStyle w:val="Bibliography"/>
        <w:spacing w:after="0"/>
        <w:ind w:left="426" w:hanging="426"/>
        <w:rPr>
          <w:sz w:val="16"/>
        </w:rPr>
      </w:pPr>
      <w:r w:rsidRPr="00900F7D">
        <w:rPr>
          <w:sz w:val="16"/>
        </w:rPr>
        <w:t>[3]</w:t>
      </w:r>
      <w:r w:rsidRPr="00900F7D">
        <w:rPr>
          <w:sz w:val="16"/>
        </w:rPr>
        <w:tab/>
        <w:t xml:space="preserve">Amanullah, </w:t>
      </w:r>
      <w:r w:rsidRPr="00900F7D">
        <w:rPr>
          <w:i/>
          <w:iCs/>
          <w:sz w:val="16"/>
        </w:rPr>
        <w:t>Crop nutrition: Enhancing healthy soils, food security, environmental sustainability and advancing SDGs</w:t>
      </w:r>
      <w:r w:rsidRPr="00900F7D">
        <w:rPr>
          <w:sz w:val="16"/>
        </w:rPr>
        <w:t>. in Crop Nutrition: Enhancing Healthy Soils, Food Security, Environmental Sustainability and Advancing SDGs. 2024, p. 690. doi: 10.1515/9783111617671.</w:t>
      </w:r>
    </w:p>
    <w:p w14:paraId="28D98CF1" w14:textId="77777777" w:rsidR="00900F7D" w:rsidRPr="00900F7D" w:rsidRDefault="00900F7D" w:rsidP="0091690C">
      <w:pPr>
        <w:pStyle w:val="Bibliography"/>
        <w:spacing w:after="0"/>
        <w:ind w:left="426" w:hanging="426"/>
        <w:rPr>
          <w:sz w:val="16"/>
        </w:rPr>
      </w:pPr>
      <w:r w:rsidRPr="00900F7D">
        <w:rPr>
          <w:sz w:val="16"/>
        </w:rPr>
        <w:t>[4]</w:t>
      </w:r>
      <w:r w:rsidRPr="00900F7D">
        <w:rPr>
          <w:sz w:val="16"/>
        </w:rPr>
        <w:tab/>
        <w:t>“Planetary health and its relevance in the modern era: A topical review.” Accessed: Dec. 29, 2024. [Online]. Available: https://journals.sagepub.com/doi/epub/10.1177/20503121241254231</w:t>
      </w:r>
    </w:p>
    <w:p w14:paraId="3D00C23B" w14:textId="77777777" w:rsidR="00900F7D" w:rsidRPr="00900F7D" w:rsidRDefault="00900F7D" w:rsidP="0091690C">
      <w:pPr>
        <w:pStyle w:val="Bibliography"/>
        <w:spacing w:after="0"/>
        <w:ind w:left="426" w:hanging="426"/>
        <w:rPr>
          <w:sz w:val="16"/>
        </w:rPr>
      </w:pPr>
      <w:r w:rsidRPr="00900F7D">
        <w:rPr>
          <w:sz w:val="16"/>
        </w:rPr>
        <w:t>[5]</w:t>
      </w:r>
      <w:r w:rsidRPr="00900F7D">
        <w:rPr>
          <w:sz w:val="16"/>
        </w:rPr>
        <w:tab/>
        <w:t xml:space="preserve">F. Su </w:t>
      </w:r>
      <w:r w:rsidRPr="00900F7D">
        <w:rPr>
          <w:i/>
          <w:iCs/>
          <w:sz w:val="16"/>
        </w:rPr>
        <w:t>et al.</w:t>
      </w:r>
      <w:r w:rsidRPr="00900F7D">
        <w:rPr>
          <w:sz w:val="16"/>
        </w:rPr>
        <w:t xml:space="preserve">, “Distribution, taxonomy, phylogeny, phytochemistry, pharmacology, and artificial cultivation of tribe Podophylleae for podophyllotoxin production,” </w:t>
      </w:r>
      <w:r w:rsidRPr="00900F7D">
        <w:rPr>
          <w:i/>
          <w:iCs/>
          <w:sz w:val="16"/>
        </w:rPr>
        <w:t>Industrial Crops and Products</w:t>
      </w:r>
      <w:r w:rsidRPr="00900F7D">
        <w:rPr>
          <w:sz w:val="16"/>
        </w:rPr>
        <w:t>, vol. 222, p. 119862, Dec. 2024, doi: 10.1016/j.indcrop.2024.119862.</w:t>
      </w:r>
    </w:p>
    <w:p w14:paraId="6128329D" w14:textId="77777777" w:rsidR="00900F7D" w:rsidRPr="00900F7D" w:rsidRDefault="00900F7D" w:rsidP="0091690C">
      <w:pPr>
        <w:pStyle w:val="Bibliography"/>
        <w:spacing w:after="0"/>
        <w:ind w:left="426" w:hanging="426"/>
        <w:rPr>
          <w:sz w:val="16"/>
        </w:rPr>
      </w:pPr>
      <w:r w:rsidRPr="00900F7D">
        <w:rPr>
          <w:sz w:val="16"/>
        </w:rPr>
        <w:t>[6]</w:t>
      </w:r>
      <w:r w:rsidRPr="00900F7D">
        <w:rPr>
          <w:sz w:val="16"/>
        </w:rPr>
        <w:tab/>
        <w:t xml:space="preserve">G. Kountios, “The role of agricultural consultants and precision agriculture in the adoption of good agricultural practices and sustainable water management,” </w:t>
      </w:r>
      <w:r w:rsidRPr="00900F7D">
        <w:rPr>
          <w:i/>
          <w:iCs/>
          <w:sz w:val="16"/>
        </w:rPr>
        <w:t>International Journal of Sustainable Agricultural Management and Informatics</w:t>
      </w:r>
      <w:r w:rsidRPr="00900F7D">
        <w:rPr>
          <w:sz w:val="16"/>
        </w:rPr>
        <w:t>, vol. 8, no. 2, pp. 144–155, 2022, doi: 10.1504/IJSAMI.2022.124577.</w:t>
      </w:r>
    </w:p>
    <w:p w14:paraId="5E2AA16D" w14:textId="77777777" w:rsidR="00900F7D" w:rsidRPr="00900F7D" w:rsidRDefault="00900F7D" w:rsidP="0091690C">
      <w:pPr>
        <w:pStyle w:val="Bibliography"/>
        <w:spacing w:after="0"/>
        <w:ind w:left="426" w:hanging="426"/>
        <w:rPr>
          <w:sz w:val="16"/>
        </w:rPr>
      </w:pPr>
      <w:r w:rsidRPr="00900F7D">
        <w:rPr>
          <w:sz w:val="16"/>
        </w:rPr>
        <w:t>[7]</w:t>
      </w:r>
      <w:r w:rsidRPr="00900F7D">
        <w:rPr>
          <w:sz w:val="16"/>
        </w:rPr>
        <w:tab/>
        <w:t xml:space="preserve">M. Jastrzębska, M. Kostrzewska, and A. Saeid, “Sustainable agriculture: A challenge for the future,” in </w:t>
      </w:r>
      <w:r w:rsidRPr="00900F7D">
        <w:rPr>
          <w:i/>
          <w:iCs/>
          <w:sz w:val="16"/>
        </w:rPr>
        <w:t>Smart Agrochemicals for Sustainable Agriculture</w:t>
      </w:r>
      <w:r w:rsidRPr="00900F7D">
        <w:rPr>
          <w:sz w:val="16"/>
        </w:rPr>
        <w:t>, 2021, pp. 29–56. doi: 10.1016/B978-0-12-817036-6.00002-9.</w:t>
      </w:r>
    </w:p>
    <w:p w14:paraId="247FBE1F" w14:textId="77777777" w:rsidR="00900F7D" w:rsidRPr="00900F7D" w:rsidRDefault="00900F7D" w:rsidP="0091690C">
      <w:pPr>
        <w:pStyle w:val="Bibliography"/>
        <w:spacing w:after="0"/>
        <w:ind w:left="426" w:hanging="426"/>
        <w:rPr>
          <w:sz w:val="16"/>
        </w:rPr>
      </w:pPr>
      <w:r w:rsidRPr="00900F7D">
        <w:rPr>
          <w:sz w:val="16"/>
        </w:rPr>
        <w:t>[8]</w:t>
      </w:r>
      <w:r w:rsidRPr="00900F7D">
        <w:rPr>
          <w:sz w:val="16"/>
        </w:rPr>
        <w:tab/>
        <w:t>W. Saeys and J. De Baerdemaeker, “Precision agriculture technology for sustainable good agricultural practice,” presented at the Conference Proceeding - 5th International Conference, TAE 2013: Trends in Agricultural Engineering 2013, 2013, pp. 19–24.</w:t>
      </w:r>
    </w:p>
    <w:p w14:paraId="53AD77D6" w14:textId="77777777" w:rsidR="00900F7D" w:rsidRPr="00900F7D" w:rsidRDefault="00900F7D" w:rsidP="0091690C">
      <w:pPr>
        <w:pStyle w:val="Bibliography"/>
        <w:spacing w:after="0"/>
        <w:ind w:left="426" w:hanging="426"/>
        <w:rPr>
          <w:sz w:val="16"/>
        </w:rPr>
      </w:pPr>
      <w:r w:rsidRPr="00900F7D">
        <w:rPr>
          <w:sz w:val="16"/>
        </w:rPr>
        <w:t>[9]</w:t>
      </w:r>
      <w:r w:rsidRPr="00900F7D">
        <w:rPr>
          <w:sz w:val="16"/>
        </w:rPr>
        <w:tab/>
        <w:t xml:space="preserve">J. D. Baerdemaeker and W. Saeys, “Good Agricultural Practices, Quality, Traceability, and Precision Agriculture,” in </w:t>
      </w:r>
      <w:r w:rsidRPr="00900F7D">
        <w:rPr>
          <w:i/>
          <w:iCs/>
          <w:sz w:val="16"/>
        </w:rPr>
        <w:t>Precision Agriculture Technology for Crop Farming</w:t>
      </w:r>
      <w:r w:rsidRPr="00900F7D">
        <w:rPr>
          <w:sz w:val="16"/>
        </w:rPr>
        <w:t>, 2015, pp. 279–298. doi: 10.1201/b19336-9.</w:t>
      </w:r>
    </w:p>
    <w:p w14:paraId="40DB3F02" w14:textId="77777777" w:rsidR="00900F7D" w:rsidRPr="00900F7D" w:rsidRDefault="00900F7D" w:rsidP="0091690C">
      <w:pPr>
        <w:pStyle w:val="Bibliography"/>
        <w:spacing w:after="0"/>
        <w:ind w:left="426" w:hanging="426"/>
        <w:rPr>
          <w:sz w:val="16"/>
        </w:rPr>
      </w:pPr>
      <w:r w:rsidRPr="00900F7D">
        <w:rPr>
          <w:sz w:val="16"/>
        </w:rPr>
        <w:t>[10]</w:t>
      </w:r>
      <w:r w:rsidRPr="00900F7D">
        <w:rPr>
          <w:sz w:val="16"/>
        </w:rPr>
        <w:tab/>
        <w:t xml:space="preserve">C. Kashyap, B. Y. Kashyap, K. Guruprasad, D. Shrinivasa, and P. K. Shrivastava, “Recent development of automation and IoT in agriculture,” </w:t>
      </w:r>
      <w:r w:rsidRPr="00900F7D">
        <w:rPr>
          <w:i/>
          <w:iCs/>
          <w:sz w:val="16"/>
        </w:rPr>
        <w:t>International Journal of Recent Technology and Engineering</w:t>
      </w:r>
      <w:r w:rsidRPr="00900F7D">
        <w:rPr>
          <w:sz w:val="16"/>
        </w:rPr>
        <w:t>, vol. 8, no. 2 Special Issue 3, pp. 820–823, 2019, doi: 10.35940/ijrte.B1153.0782S319.</w:t>
      </w:r>
    </w:p>
    <w:p w14:paraId="360D09A4" w14:textId="77777777" w:rsidR="00900F7D" w:rsidRPr="00900F7D" w:rsidRDefault="00900F7D" w:rsidP="0091690C">
      <w:pPr>
        <w:pStyle w:val="Bibliography"/>
        <w:spacing w:after="0"/>
        <w:ind w:left="426" w:hanging="426"/>
        <w:rPr>
          <w:sz w:val="16"/>
        </w:rPr>
      </w:pPr>
      <w:r w:rsidRPr="00900F7D">
        <w:rPr>
          <w:sz w:val="16"/>
        </w:rPr>
        <w:t>[11]</w:t>
      </w:r>
      <w:r w:rsidRPr="00900F7D">
        <w:rPr>
          <w:sz w:val="16"/>
        </w:rPr>
        <w:tab/>
        <w:t xml:space="preserve">F. Xu </w:t>
      </w:r>
      <w:r w:rsidRPr="00900F7D">
        <w:rPr>
          <w:i/>
          <w:iCs/>
          <w:sz w:val="16"/>
        </w:rPr>
        <w:t>et al.</w:t>
      </w:r>
      <w:r w:rsidRPr="00900F7D">
        <w:rPr>
          <w:sz w:val="16"/>
        </w:rPr>
        <w:t xml:space="preserve">, “Review of good agricultural practices for smallholder maize farmers to minimise aflatoxin contamination,” </w:t>
      </w:r>
      <w:r w:rsidRPr="00900F7D">
        <w:rPr>
          <w:i/>
          <w:iCs/>
          <w:sz w:val="16"/>
        </w:rPr>
        <w:t>WMJ</w:t>
      </w:r>
      <w:r w:rsidRPr="00900F7D">
        <w:rPr>
          <w:sz w:val="16"/>
        </w:rPr>
        <w:t>, vol. 15, no. 2, pp. 171–186, Apr. 2022, doi: 10.3920/WMJ2021.2685.</w:t>
      </w:r>
    </w:p>
    <w:p w14:paraId="2D37B138" w14:textId="77777777" w:rsidR="00900F7D" w:rsidRPr="00900F7D" w:rsidRDefault="00900F7D" w:rsidP="0091690C">
      <w:pPr>
        <w:pStyle w:val="Bibliography"/>
        <w:spacing w:after="0"/>
        <w:ind w:left="426" w:hanging="426"/>
        <w:rPr>
          <w:sz w:val="16"/>
        </w:rPr>
      </w:pPr>
      <w:r w:rsidRPr="00900F7D">
        <w:rPr>
          <w:sz w:val="16"/>
        </w:rPr>
        <w:t>[12]</w:t>
      </w:r>
      <w:r w:rsidRPr="00900F7D">
        <w:rPr>
          <w:sz w:val="16"/>
        </w:rPr>
        <w:tab/>
        <w:t xml:space="preserve">C. C. Krejci, A. A. Marusak, N. Sadeghiamirshahidi, A. Mittal, and S. Beckwith, “Transportation barriers in local and regional food supply chains,” </w:t>
      </w:r>
      <w:r w:rsidRPr="00900F7D">
        <w:rPr>
          <w:i/>
          <w:iCs/>
          <w:sz w:val="16"/>
        </w:rPr>
        <w:t>Journal of Agriculture, Food Systems, and Community Development</w:t>
      </w:r>
      <w:r w:rsidRPr="00900F7D">
        <w:rPr>
          <w:sz w:val="16"/>
        </w:rPr>
        <w:t>, vol. 14, no. 1, 2024, doi: 10.5304/jafscd.2024.141.018.</w:t>
      </w:r>
    </w:p>
    <w:p w14:paraId="4C96869D" w14:textId="77777777" w:rsidR="00900F7D" w:rsidRPr="00900F7D" w:rsidRDefault="00900F7D" w:rsidP="0091690C">
      <w:pPr>
        <w:pStyle w:val="Bibliography"/>
        <w:spacing w:after="0"/>
        <w:ind w:left="426" w:hanging="426"/>
        <w:rPr>
          <w:sz w:val="16"/>
        </w:rPr>
      </w:pPr>
      <w:r w:rsidRPr="00900F7D">
        <w:rPr>
          <w:sz w:val="16"/>
        </w:rPr>
        <w:t>[13]</w:t>
      </w:r>
      <w:r w:rsidRPr="00900F7D">
        <w:rPr>
          <w:sz w:val="16"/>
        </w:rPr>
        <w:tab/>
        <w:t xml:space="preserve">K. Darwis, M. Salam, M. Munizu, and P. Diansari, “A review of global research trends on the impact of the COVID-19 pandemic on food security,” </w:t>
      </w:r>
      <w:r w:rsidRPr="00900F7D">
        <w:rPr>
          <w:i/>
          <w:iCs/>
          <w:sz w:val="16"/>
        </w:rPr>
        <w:t>Agriculture and Food Security</w:t>
      </w:r>
      <w:r w:rsidRPr="00900F7D">
        <w:rPr>
          <w:sz w:val="16"/>
        </w:rPr>
        <w:t>, vol. 13, no. 1, 2024, doi: 10.1186/s40066-024-00496-y.</w:t>
      </w:r>
    </w:p>
    <w:p w14:paraId="45B703A3" w14:textId="77777777" w:rsidR="00900F7D" w:rsidRPr="00900F7D" w:rsidRDefault="00900F7D" w:rsidP="0091690C">
      <w:pPr>
        <w:pStyle w:val="Bibliography"/>
        <w:spacing w:after="0"/>
        <w:ind w:left="426" w:hanging="426"/>
        <w:rPr>
          <w:sz w:val="16"/>
        </w:rPr>
      </w:pPr>
      <w:r w:rsidRPr="00900F7D">
        <w:rPr>
          <w:sz w:val="16"/>
        </w:rPr>
        <w:t>[14]</w:t>
      </w:r>
      <w:r w:rsidRPr="00900F7D">
        <w:rPr>
          <w:sz w:val="16"/>
        </w:rPr>
        <w:tab/>
        <w:t xml:space="preserve">C. B. Sibiya, L. M. Maesela, M. A. Ramashala, and G. M. Senyolo, “Determinants of Farm Income During Lockdown Restrictions Amongst Small-Scale Farmers in the Gauteng Province, South Africa,” </w:t>
      </w:r>
      <w:r w:rsidRPr="00900F7D">
        <w:rPr>
          <w:i/>
          <w:iCs/>
          <w:sz w:val="16"/>
        </w:rPr>
        <w:t>South African Journal of Agricultural Extension</w:t>
      </w:r>
      <w:r w:rsidRPr="00900F7D">
        <w:rPr>
          <w:sz w:val="16"/>
        </w:rPr>
        <w:t>, vol. 52, no. 5, pp. 136–150, 2024, doi: 10.17159/2413-3221/2024/v52n5a16705.</w:t>
      </w:r>
    </w:p>
    <w:p w14:paraId="19134C73" w14:textId="77777777" w:rsidR="00900F7D" w:rsidRPr="00900F7D" w:rsidRDefault="00900F7D" w:rsidP="0091690C">
      <w:pPr>
        <w:pStyle w:val="Bibliography"/>
        <w:spacing w:after="0"/>
        <w:ind w:left="426" w:hanging="426"/>
        <w:rPr>
          <w:sz w:val="16"/>
        </w:rPr>
      </w:pPr>
      <w:r w:rsidRPr="00900F7D">
        <w:rPr>
          <w:sz w:val="16"/>
        </w:rPr>
        <w:t>[15]</w:t>
      </w:r>
      <w:r w:rsidRPr="00900F7D">
        <w:rPr>
          <w:sz w:val="16"/>
        </w:rPr>
        <w:tab/>
        <w:t xml:space="preserve">E. Nkansah-Dwamena, “Why Small-Scale Circular Agriculture Is Central to Food Security and Environmental Sustainability in Sub-Saharan Africa? The Case of Ghana,” </w:t>
      </w:r>
      <w:r w:rsidRPr="00900F7D">
        <w:rPr>
          <w:i/>
          <w:iCs/>
          <w:sz w:val="16"/>
        </w:rPr>
        <w:t>Circular Economy and Sustainability</w:t>
      </w:r>
      <w:r w:rsidRPr="00900F7D">
        <w:rPr>
          <w:sz w:val="16"/>
        </w:rPr>
        <w:t>, vol. 4, no. 2, pp. 995–1019, 2024, doi: 10.1007/s43615-023-00320-y.</w:t>
      </w:r>
    </w:p>
    <w:p w14:paraId="14688F27" w14:textId="77777777" w:rsidR="00900F7D" w:rsidRPr="00900F7D" w:rsidRDefault="00900F7D" w:rsidP="0091690C">
      <w:pPr>
        <w:pStyle w:val="Bibliography"/>
        <w:spacing w:after="0"/>
        <w:ind w:left="426" w:hanging="426"/>
        <w:rPr>
          <w:sz w:val="16"/>
        </w:rPr>
      </w:pPr>
      <w:r w:rsidRPr="00900F7D">
        <w:rPr>
          <w:sz w:val="16"/>
        </w:rPr>
        <w:t>[16]</w:t>
      </w:r>
      <w:r w:rsidRPr="00900F7D">
        <w:rPr>
          <w:sz w:val="16"/>
        </w:rPr>
        <w:tab/>
        <w:t xml:space="preserve">A. Sahavacharin, F. Likitswat, K. N. Irvine, and L. Teang, “Community-Based Resilience Analysis (CoBRA) to Hazard Disruption: Case Study of a Peri-Urban Agricultural Community in Thailand,” </w:t>
      </w:r>
      <w:r w:rsidRPr="00900F7D">
        <w:rPr>
          <w:i/>
          <w:iCs/>
          <w:sz w:val="16"/>
        </w:rPr>
        <w:t>Land</w:t>
      </w:r>
      <w:r w:rsidRPr="00900F7D">
        <w:rPr>
          <w:sz w:val="16"/>
        </w:rPr>
        <w:t>, vol. 13, no. 9, 2024, doi: 10.3390/land13091363.</w:t>
      </w:r>
    </w:p>
    <w:p w14:paraId="0A488790" w14:textId="77777777" w:rsidR="00900F7D" w:rsidRPr="00900F7D" w:rsidRDefault="00900F7D" w:rsidP="0091690C">
      <w:pPr>
        <w:pStyle w:val="Bibliography"/>
        <w:spacing w:after="0"/>
        <w:ind w:left="426" w:hanging="426"/>
        <w:rPr>
          <w:sz w:val="16"/>
        </w:rPr>
      </w:pPr>
      <w:r w:rsidRPr="00900F7D">
        <w:rPr>
          <w:sz w:val="16"/>
        </w:rPr>
        <w:t>[17]</w:t>
      </w:r>
      <w:r w:rsidRPr="00900F7D">
        <w:rPr>
          <w:sz w:val="16"/>
        </w:rPr>
        <w:tab/>
        <w:t xml:space="preserve">N. Abed </w:t>
      </w:r>
      <w:r w:rsidRPr="00900F7D">
        <w:rPr>
          <w:i/>
          <w:iCs/>
          <w:sz w:val="16"/>
        </w:rPr>
        <w:t>et al.</w:t>
      </w:r>
      <w:r w:rsidRPr="00900F7D">
        <w:rPr>
          <w:sz w:val="16"/>
        </w:rPr>
        <w:t xml:space="preserve">, “Assessing farm-level agricultural sustainability in India: A comparative study using a mixed-method approach,” </w:t>
      </w:r>
      <w:r w:rsidRPr="00900F7D">
        <w:rPr>
          <w:i/>
          <w:iCs/>
          <w:sz w:val="16"/>
        </w:rPr>
        <w:t>Agricultural Systems</w:t>
      </w:r>
      <w:r w:rsidRPr="00900F7D">
        <w:rPr>
          <w:sz w:val="16"/>
        </w:rPr>
        <w:t>, vol. 224, 2025, doi: 10.1016/j.agsy.2024.104223.</w:t>
      </w:r>
    </w:p>
    <w:p w14:paraId="1B85623A" w14:textId="77777777" w:rsidR="00900F7D" w:rsidRPr="00900F7D" w:rsidRDefault="00900F7D" w:rsidP="0091690C">
      <w:pPr>
        <w:pStyle w:val="Bibliography"/>
        <w:spacing w:after="0"/>
        <w:ind w:left="426" w:hanging="426"/>
        <w:rPr>
          <w:sz w:val="16"/>
        </w:rPr>
      </w:pPr>
      <w:r w:rsidRPr="00900F7D">
        <w:rPr>
          <w:sz w:val="16"/>
        </w:rPr>
        <w:t>[18]</w:t>
      </w:r>
      <w:r w:rsidRPr="00900F7D">
        <w:rPr>
          <w:sz w:val="16"/>
        </w:rPr>
        <w:tab/>
        <w:t xml:space="preserve">J. A. Brenes, G. López, F. J. Ferrández-Pastor, and G. Marín-Raventós, “Usability assessment of a greenhouse context-aware alert system for small-scale farmers,” </w:t>
      </w:r>
      <w:r w:rsidRPr="00900F7D">
        <w:rPr>
          <w:i/>
          <w:iCs/>
          <w:sz w:val="16"/>
        </w:rPr>
        <w:t>Frontiers in Computer Science</w:t>
      </w:r>
      <w:r w:rsidRPr="00900F7D">
        <w:rPr>
          <w:sz w:val="16"/>
        </w:rPr>
        <w:t>, vol. 6, 2024, doi: 10.3389/fcomp.2024.1412913.</w:t>
      </w:r>
    </w:p>
    <w:p w14:paraId="67160669" w14:textId="77777777" w:rsidR="00900F7D" w:rsidRPr="00900F7D" w:rsidRDefault="00900F7D" w:rsidP="0091690C">
      <w:pPr>
        <w:pStyle w:val="Bibliography"/>
        <w:spacing w:after="0"/>
        <w:ind w:left="426" w:hanging="426"/>
        <w:rPr>
          <w:sz w:val="16"/>
        </w:rPr>
      </w:pPr>
      <w:r w:rsidRPr="00900F7D">
        <w:rPr>
          <w:sz w:val="16"/>
        </w:rPr>
        <w:t>[19]</w:t>
      </w:r>
      <w:r w:rsidRPr="00900F7D">
        <w:rPr>
          <w:sz w:val="16"/>
        </w:rPr>
        <w:tab/>
        <w:t xml:space="preserve">F. J. Ferrández-Pastor, J. M. Cámara-Zapata, S. Alcañiz-Lucas, S. Pardo, and J. A. Brenes, “Reinforcement Learning Model in Automated Greenhouse Control,” </w:t>
      </w:r>
      <w:r w:rsidRPr="00900F7D">
        <w:rPr>
          <w:i/>
          <w:iCs/>
          <w:sz w:val="16"/>
        </w:rPr>
        <w:t>Lecture Notes in Networks and Systems</w:t>
      </w:r>
      <w:r w:rsidRPr="00900F7D">
        <w:rPr>
          <w:sz w:val="16"/>
        </w:rPr>
        <w:t>, vol. 842 LNNS, pp. 3–13, 2023, doi: 10.1007/978-3-031-48642-5_1.</w:t>
      </w:r>
    </w:p>
    <w:p w14:paraId="5300E4F3" w14:textId="77777777" w:rsidR="00900F7D" w:rsidRPr="00900F7D" w:rsidRDefault="00900F7D" w:rsidP="0091690C">
      <w:pPr>
        <w:pStyle w:val="Bibliography"/>
        <w:spacing w:after="0"/>
        <w:ind w:left="426" w:hanging="426"/>
        <w:rPr>
          <w:sz w:val="16"/>
        </w:rPr>
      </w:pPr>
      <w:r w:rsidRPr="00900F7D">
        <w:rPr>
          <w:sz w:val="16"/>
        </w:rPr>
        <w:t>[20]</w:t>
      </w:r>
      <w:r w:rsidRPr="00900F7D">
        <w:rPr>
          <w:sz w:val="16"/>
        </w:rPr>
        <w:tab/>
        <w:t xml:space="preserve">H. Li, Y. Guo, H. Zhao, Y. Wang, and D. Chow, “Towards automated greenhouse: A state of the art review on greenhouse monitoring methods and technologies based on internet of things,” </w:t>
      </w:r>
      <w:r w:rsidRPr="00900F7D">
        <w:rPr>
          <w:i/>
          <w:iCs/>
          <w:sz w:val="16"/>
        </w:rPr>
        <w:t>Computers and Electronics in Agriculture</w:t>
      </w:r>
      <w:r w:rsidRPr="00900F7D">
        <w:rPr>
          <w:sz w:val="16"/>
        </w:rPr>
        <w:t>, vol. 191, 2021, doi: 10.1016/j.compag.2021.106558.</w:t>
      </w:r>
    </w:p>
    <w:p w14:paraId="645C3350" w14:textId="77777777" w:rsidR="00900F7D" w:rsidRPr="00900F7D" w:rsidRDefault="00900F7D" w:rsidP="0091690C">
      <w:pPr>
        <w:pStyle w:val="Bibliography"/>
        <w:spacing w:after="0"/>
        <w:ind w:left="426" w:hanging="426"/>
        <w:rPr>
          <w:sz w:val="16"/>
        </w:rPr>
      </w:pPr>
      <w:r w:rsidRPr="00900F7D">
        <w:rPr>
          <w:sz w:val="16"/>
        </w:rPr>
        <w:t>[21]</w:t>
      </w:r>
      <w:r w:rsidRPr="00900F7D">
        <w:rPr>
          <w:sz w:val="16"/>
        </w:rPr>
        <w:tab/>
        <w:t xml:space="preserve">S. Behroozeh, D. Hayati, and E. Karami, “Factors influencing energy consumption efficiency in greenhouse cropping systems,” </w:t>
      </w:r>
      <w:r w:rsidRPr="00900F7D">
        <w:rPr>
          <w:i/>
          <w:iCs/>
          <w:sz w:val="16"/>
        </w:rPr>
        <w:t>Environ Dev Sustain</w:t>
      </w:r>
      <w:r w:rsidRPr="00900F7D">
        <w:rPr>
          <w:sz w:val="16"/>
        </w:rPr>
        <w:t>, Apr. 2024, doi: 10.1007/s10668-024-04851-8.</w:t>
      </w:r>
    </w:p>
    <w:p w14:paraId="402979A0" w14:textId="77777777" w:rsidR="00900F7D" w:rsidRPr="00900F7D" w:rsidRDefault="00900F7D" w:rsidP="0091690C">
      <w:pPr>
        <w:pStyle w:val="Bibliography"/>
        <w:spacing w:after="0"/>
        <w:ind w:left="426" w:hanging="426"/>
        <w:rPr>
          <w:sz w:val="16"/>
        </w:rPr>
      </w:pPr>
      <w:r w:rsidRPr="00900F7D">
        <w:rPr>
          <w:sz w:val="16"/>
        </w:rPr>
        <w:t>[22]</w:t>
      </w:r>
      <w:r w:rsidRPr="00900F7D">
        <w:rPr>
          <w:sz w:val="16"/>
        </w:rPr>
        <w:tab/>
        <w:t xml:space="preserve">J. Chacha </w:t>
      </w:r>
      <w:r w:rsidRPr="00900F7D">
        <w:rPr>
          <w:i/>
          <w:iCs/>
          <w:sz w:val="16"/>
        </w:rPr>
        <w:t>et al.</w:t>
      </w:r>
      <w:r w:rsidRPr="00900F7D">
        <w:rPr>
          <w:sz w:val="16"/>
        </w:rPr>
        <w:t xml:space="preserve">, “Greenhouse and open-field Tomato farming. A comparison through yield and growth parameters investigated in Dar es Salaam,” </w:t>
      </w:r>
      <w:r w:rsidRPr="00900F7D">
        <w:rPr>
          <w:i/>
          <w:iCs/>
          <w:sz w:val="16"/>
        </w:rPr>
        <w:t>Innovations Agric</w:t>
      </w:r>
      <w:r w:rsidRPr="00900F7D">
        <w:rPr>
          <w:sz w:val="16"/>
        </w:rPr>
        <w:t>, pp. 1–9, 2023, doi: 10.25081/ia.2023-02.</w:t>
      </w:r>
    </w:p>
    <w:p w14:paraId="122BC8BE" w14:textId="77777777" w:rsidR="00900F7D" w:rsidRPr="00900F7D" w:rsidRDefault="00900F7D" w:rsidP="0091690C">
      <w:pPr>
        <w:pStyle w:val="Bibliography"/>
        <w:spacing w:after="0"/>
        <w:ind w:left="426" w:hanging="426"/>
        <w:rPr>
          <w:sz w:val="16"/>
        </w:rPr>
      </w:pPr>
      <w:r w:rsidRPr="00900F7D">
        <w:rPr>
          <w:sz w:val="16"/>
        </w:rPr>
        <w:t>[23]</w:t>
      </w:r>
      <w:r w:rsidRPr="00900F7D">
        <w:rPr>
          <w:sz w:val="16"/>
        </w:rPr>
        <w:tab/>
        <w:t xml:space="preserve">I. W. Supartha, I. W. Susila, Yohanes, I. K. W. Yudha, and P. A. Wiradana, “Potential of parasitoid </w:t>
      </w:r>
      <w:r w:rsidRPr="00900F7D">
        <w:rPr>
          <w:i/>
          <w:iCs/>
          <w:sz w:val="16"/>
        </w:rPr>
        <w:t>Gronotoma micromorpha</w:t>
      </w:r>
      <w:r w:rsidRPr="00900F7D">
        <w:rPr>
          <w:sz w:val="16"/>
        </w:rPr>
        <w:t xml:space="preserve"> Perkin (Hymenoptera: Eucoilidae) as a biocontrol agent for pea leafminer fly, </w:t>
      </w:r>
      <w:r w:rsidRPr="00900F7D">
        <w:rPr>
          <w:i/>
          <w:iCs/>
          <w:sz w:val="16"/>
        </w:rPr>
        <w:t>Liriomyza huidobrensis</w:t>
      </w:r>
      <w:r w:rsidRPr="00900F7D">
        <w:rPr>
          <w:sz w:val="16"/>
        </w:rPr>
        <w:t xml:space="preserve"> Blanchard (Diptera: Agromyzidae),” </w:t>
      </w:r>
      <w:r w:rsidRPr="00900F7D">
        <w:rPr>
          <w:i/>
          <w:iCs/>
          <w:sz w:val="16"/>
        </w:rPr>
        <w:t>Acta Ecologica Sinica</w:t>
      </w:r>
      <w:r w:rsidRPr="00900F7D">
        <w:rPr>
          <w:sz w:val="16"/>
        </w:rPr>
        <w:t>, vol. 42, no. 2, pp. 90–94, Apr. 2022, doi: 10.1016/j.chnaes.2021.06.008.</w:t>
      </w:r>
    </w:p>
    <w:p w14:paraId="34C0DDCB" w14:textId="77777777" w:rsidR="00900F7D" w:rsidRPr="00900F7D" w:rsidRDefault="00900F7D" w:rsidP="0091690C">
      <w:pPr>
        <w:pStyle w:val="Bibliography"/>
        <w:spacing w:after="0"/>
        <w:ind w:left="426" w:hanging="426"/>
        <w:rPr>
          <w:sz w:val="16"/>
        </w:rPr>
      </w:pPr>
      <w:r w:rsidRPr="00900F7D">
        <w:rPr>
          <w:sz w:val="16"/>
        </w:rPr>
        <w:t>[24]</w:t>
      </w:r>
      <w:r w:rsidRPr="00900F7D">
        <w:rPr>
          <w:sz w:val="16"/>
        </w:rPr>
        <w:tab/>
        <w:t xml:space="preserve">U. Shareef, A. U. Rehman, and R. Ahmad, “A Systematic Literature Review on Parameters Optimization for Smart Hydroponic Systems,” </w:t>
      </w:r>
      <w:r w:rsidRPr="00900F7D">
        <w:rPr>
          <w:i/>
          <w:iCs/>
          <w:sz w:val="16"/>
        </w:rPr>
        <w:t>AI (Switzerland)</w:t>
      </w:r>
      <w:r w:rsidRPr="00900F7D">
        <w:rPr>
          <w:sz w:val="16"/>
        </w:rPr>
        <w:t>, vol. 5, no. 3, pp. 1517–1533, 2024, doi: 10.3390/ai5030073.</w:t>
      </w:r>
    </w:p>
    <w:p w14:paraId="66097422" w14:textId="77777777" w:rsidR="00900F7D" w:rsidRPr="00900F7D" w:rsidRDefault="00900F7D" w:rsidP="0091690C">
      <w:pPr>
        <w:pStyle w:val="Bibliography"/>
        <w:spacing w:after="0"/>
        <w:ind w:left="426" w:hanging="426"/>
        <w:rPr>
          <w:sz w:val="16"/>
        </w:rPr>
      </w:pPr>
      <w:r w:rsidRPr="00900F7D">
        <w:rPr>
          <w:sz w:val="16"/>
        </w:rPr>
        <w:t>[25]</w:t>
      </w:r>
      <w:r w:rsidRPr="00900F7D">
        <w:rPr>
          <w:sz w:val="16"/>
        </w:rPr>
        <w:tab/>
        <w:t xml:space="preserve">S. Dhanasekar, “A comprehensive review on current issues and advancements of Internet of Things in precision agriculture,” </w:t>
      </w:r>
      <w:r w:rsidRPr="00900F7D">
        <w:rPr>
          <w:i/>
          <w:iCs/>
          <w:sz w:val="16"/>
        </w:rPr>
        <w:t>Computer Science Review</w:t>
      </w:r>
      <w:r w:rsidRPr="00900F7D">
        <w:rPr>
          <w:sz w:val="16"/>
        </w:rPr>
        <w:t>, vol. 55, 2025, doi: 10.1016/j.cosrev.2024.100694.</w:t>
      </w:r>
    </w:p>
    <w:p w14:paraId="13B92FD2" w14:textId="77777777" w:rsidR="00900F7D" w:rsidRPr="00900F7D" w:rsidRDefault="00900F7D" w:rsidP="0091690C">
      <w:pPr>
        <w:pStyle w:val="Bibliography"/>
        <w:spacing w:after="0"/>
        <w:ind w:left="426" w:hanging="426"/>
        <w:rPr>
          <w:sz w:val="16"/>
        </w:rPr>
      </w:pPr>
      <w:r w:rsidRPr="00900F7D">
        <w:rPr>
          <w:sz w:val="16"/>
        </w:rPr>
        <w:t>[26]</w:t>
      </w:r>
      <w:r w:rsidRPr="00900F7D">
        <w:rPr>
          <w:sz w:val="16"/>
        </w:rPr>
        <w:tab/>
        <w:t xml:space="preserve">N. Ahmed </w:t>
      </w:r>
      <w:r w:rsidRPr="00900F7D">
        <w:rPr>
          <w:i/>
          <w:iCs/>
          <w:sz w:val="16"/>
        </w:rPr>
        <w:t>et al.</w:t>
      </w:r>
      <w:r w:rsidRPr="00900F7D">
        <w:rPr>
          <w:sz w:val="16"/>
        </w:rPr>
        <w:t xml:space="preserve">, “Advancing horizons in vegetable cultivation: a journey from ageold practices to high-tech greenhouse cultivation—a review,” </w:t>
      </w:r>
      <w:r w:rsidRPr="00900F7D">
        <w:rPr>
          <w:i/>
          <w:iCs/>
          <w:sz w:val="16"/>
        </w:rPr>
        <w:t>Front. Plant Sci.</w:t>
      </w:r>
      <w:r w:rsidRPr="00900F7D">
        <w:rPr>
          <w:sz w:val="16"/>
        </w:rPr>
        <w:t>, vol. 15, Apr. 2024, doi: 10.3389/fpls.2024.1357153.</w:t>
      </w:r>
    </w:p>
    <w:p w14:paraId="426C3B3E" w14:textId="77777777" w:rsidR="00900F7D" w:rsidRPr="00900F7D" w:rsidRDefault="00900F7D" w:rsidP="0091690C">
      <w:pPr>
        <w:pStyle w:val="Bibliography"/>
        <w:spacing w:after="0"/>
        <w:ind w:left="426" w:hanging="426"/>
        <w:rPr>
          <w:sz w:val="16"/>
        </w:rPr>
      </w:pPr>
      <w:r w:rsidRPr="00900F7D">
        <w:rPr>
          <w:sz w:val="16"/>
        </w:rPr>
        <w:t>[27]</w:t>
      </w:r>
      <w:r w:rsidRPr="00900F7D">
        <w:rPr>
          <w:sz w:val="16"/>
        </w:rPr>
        <w:tab/>
        <w:t xml:space="preserve">S. Argento, G. Garcia, and S. Treccarichi, “Sustainable and Low-Input Techniques in Mediterranean Greenhouse Vegetable Production,” </w:t>
      </w:r>
      <w:r w:rsidRPr="00900F7D">
        <w:rPr>
          <w:i/>
          <w:iCs/>
          <w:sz w:val="16"/>
        </w:rPr>
        <w:t>Horticulturae</w:t>
      </w:r>
      <w:r w:rsidRPr="00900F7D">
        <w:rPr>
          <w:sz w:val="16"/>
        </w:rPr>
        <w:t>, vol. 10, no. 9, Art. no. 9, Sep. 2024, doi: 10.3390/horticulturae10090997.</w:t>
      </w:r>
    </w:p>
    <w:p w14:paraId="4D299CF4" w14:textId="77777777" w:rsidR="00900F7D" w:rsidRPr="00900F7D" w:rsidRDefault="00900F7D" w:rsidP="0091690C">
      <w:pPr>
        <w:pStyle w:val="Bibliography"/>
        <w:spacing w:after="0"/>
        <w:ind w:left="426" w:hanging="426"/>
        <w:rPr>
          <w:sz w:val="16"/>
        </w:rPr>
      </w:pPr>
      <w:r w:rsidRPr="00900F7D">
        <w:rPr>
          <w:sz w:val="16"/>
        </w:rPr>
        <w:t>[28]</w:t>
      </w:r>
      <w:r w:rsidRPr="00900F7D">
        <w:rPr>
          <w:sz w:val="16"/>
        </w:rPr>
        <w:tab/>
        <w:t xml:space="preserve">M. F. Rabbee, Md. S. Ali, Md. N. Islam, M. M. Rahman, Md. M. Hasan, and K.-H. Baek, “Endophyte mediated biocontrol mechanisms of phytopathogens in agriculture,” </w:t>
      </w:r>
      <w:r w:rsidRPr="00900F7D">
        <w:rPr>
          <w:i/>
          <w:iCs/>
          <w:sz w:val="16"/>
        </w:rPr>
        <w:t>Research in Microbiology</w:t>
      </w:r>
      <w:r w:rsidRPr="00900F7D">
        <w:rPr>
          <w:sz w:val="16"/>
        </w:rPr>
        <w:t>, vol. 175, no. 8, p. 104229, Nov. 2024, doi: 10.1016/j.resmic.2024.104229.</w:t>
      </w:r>
    </w:p>
    <w:p w14:paraId="507717E7" w14:textId="77777777" w:rsidR="00900F7D" w:rsidRPr="00900F7D" w:rsidRDefault="00900F7D" w:rsidP="0091690C">
      <w:pPr>
        <w:pStyle w:val="Bibliography"/>
        <w:spacing w:after="0"/>
        <w:ind w:left="426" w:hanging="426"/>
        <w:rPr>
          <w:sz w:val="16"/>
        </w:rPr>
      </w:pPr>
      <w:r w:rsidRPr="00900F7D">
        <w:rPr>
          <w:sz w:val="16"/>
        </w:rPr>
        <w:t>[29]</w:t>
      </w:r>
      <w:r w:rsidRPr="00900F7D">
        <w:rPr>
          <w:sz w:val="16"/>
        </w:rPr>
        <w:tab/>
        <w:t xml:space="preserve">M. Khayatnezhad and F. Nasehi, “Industrial pesticides and a methods assessment for the reduction of associated risks: A review,” </w:t>
      </w:r>
      <w:r w:rsidRPr="00900F7D">
        <w:rPr>
          <w:i/>
          <w:iCs/>
          <w:sz w:val="16"/>
        </w:rPr>
        <w:t>Advancements in Life Sciences</w:t>
      </w:r>
      <w:r w:rsidRPr="00900F7D">
        <w:rPr>
          <w:sz w:val="16"/>
        </w:rPr>
        <w:t>, vol. 8, no. 2, pp. 202–210, 2021.</w:t>
      </w:r>
    </w:p>
    <w:p w14:paraId="03DCDBE7" w14:textId="77777777" w:rsidR="00900F7D" w:rsidRPr="00900F7D" w:rsidRDefault="00900F7D" w:rsidP="0091690C">
      <w:pPr>
        <w:pStyle w:val="Bibliography"/>
        <w:spacing w:after="0"/>
        <w:ind w:left="426" w:hanging="426"/>
        <w:rPr>
          <w:sz w:val="16"/>
        </w:rPr>
      </w:pPr>
      <w:r w:rsidRPr="00900F7D">
        <w:rPr>
          <w:sz w:val="16"/>
        </w:rPr>
        <w:t>[30]</w:t>
      </w:r>
      <w:r w:rsidRPr="00900F7D">
        <w:rPr>
          <w:sz w:val="16"/>
        </w:rPr>
        <w:tab/>
        <w:t xml:space="preserve">J. Koller, L. Sutter, J. Gonthier, J. Collatz, and L. Norgrove, “Entomopathogens and Parasitoids Allied in Biocontrol: A Systematic Review,” </w:t>
      </w:r>
      <w:r w:rsidRPr="00900F7D">
        <w:rPr>
          <w:i/>
          <w:iCs/>
          <w:sz w:val="16"/>
        </w:rPr>
        <w:t>Pathogens</w:t>
      </w:r>
      <w:r w:rsidRPr="00900F7D">
        <w:rPr>
          <w:sz w:val="16"/>
        </w:rPr>
        <w:t>, vol. 12, no. 7, Art. no. 7, Jul. 2023, doi: 10.3390/pathogens12070957.</w:t>
      </w:r>
    </w:p>
    <w:p w14:paraId="4AECDE5F" w14:textId="77777777" w:rsidR="00900F7D" w:rsidRPr="00900F7D" w:rsidRDefault="00900F7D" w:rsidP="0091690C">
      <w:pPr>
        <w:pStyle w:val="Bibliography"/>
        <w:spacing w:after="0"/>
        <w:ind w:left="426" w:hanging="426"/>
        <w:rPr>
          <w:sz w:val="16"/>
        </w:rPr>
      </w:pPr>
      <w:r w:rsidRPr="00900F7D">
        <w:rPr>
          <w:sz w:val="16"/>
        </w:rPr>
        <w:t>[31]</w:t>
      </w:r>
      <w:r w:rsidRPr="00900F7D">
        <w:rPr>
          <w:sz w:val="16"/>
        </w:rPr>
        <w:tab/>
        <w:t xml:space="preserve">J. A. Brenes and G. Marín-Raventós, “Scalable Technological Architecture Empowers Small-Scale Smart Farming Solutions,” </w:t>
      </w:r>
      <w:r w:rsidRPr="00900F7D">
        <w:rPr>
          <w:i/>
          <w:iCs/>
          <w:sz w:val="16"/>
        </w:rPr>
        <w:t>Communications of the ACM</w:t>
      </w:r>
      <w:r w:rsidRPr="00900F7D">
        <w:rPr>
          <w:sz w:val="16"/>
        </w:rPr>
        <w:t>, vol. 67, no. 8, pp. 93–94, 2024, doi: 10.1145/3653327.</w:t>
      </w:r>
    </w:p>
    <w:p w14:paraId="7C1BB7DA" w14:textId="77777777" w:rsidR="00900F7D" w:rsidRPr="00900F7D" w:rsidRDefault="00900F7D" w:rsidP="0091690C">
      <w:pPr>
        <w:pStyle w:val="Bibliography"/>
        <w:spacing w:after="0"/>
        <w:ind w:left="426" w:hanging="426"/>
        <w:rPr>
          <w:sz w:val="16"/>
        </w:rPr>
      </w:pPr>
      <w:r w:rsidRPr="00900F7D">
        <w:rPr>
          <w:sz w:val="16"/>
        </w:rPr>
        <w:t>[32]</w:t>
      </w:r>
      <w:r w:rsidRPr="00900F7D">
        <w:rPr>
          <w:sz w:val="16"/>
        </w:rPr>
        <w:tab/>
        <w:t xml:space="preserve">J. A. Brenes, A. Martínez, C. Quesada-López, and M. Jenkins, “Decision support systems that use artificial intelligence for precision agriculture: A systematic literature mapping,” </w:t>
      </w:r>
      <w:r w:rsidRPr="00900F7D">
        <w:rPr>
          <w:i/>
          <w:iCs/>
          <w:sz w:val="16"/>
        </w:rPr>
        <w:t>RISTI - Revista Iberica de Sistemas e Tecnologias de Informacao</w:t>
      </w:r>
      <w:r w:rsidRPr="00900F7D">
        <w:rPr>
          <w:sz w:val="16"/>
        </w:rPr>
        <w:t>, vol. 2020, no. E28, pp. 217–229, 2020.</w:t>
      </w:r>
    </w:p>
    <w:p w14:paraId="4E692220" w14:textId="77777777" w:rsidR="00900F7D" w:rsidRPr="00900F7D" w:rsidRDefault="00900F7D" w:rsidP="0091690C">
      <w:pPr>
        <w:pStyle w:val="Bibliography"/>
        <w:spacing w:after="0"/>
        <w:ind w:left="426" w:hanging="426"/>
        <w:rPr>
          <w:sz w:val="16"/>
        </w:rPr>
      </w:pPr>
      <w:r w:rsidRPr="00900F7D">
        <w:rPr>
          <w:sz w:val="16"/>
        </w:rPr>
        <w:t>[33]</w:t>
      </w:r>
      <w:r w:rsidRPr="00900F7D">
        <w:rPr>
          <w:sz w:val="16"/>
        </w:rPr>
        <w:tab/>
        <w:t xml:space="preserve">A. Gabriel and M. Gandorfer, “Adoption of digital technologies in agriculture—an inventory in a european small-scale farming region,” </w:t>
      </w:r>
      <w:r w:rsidRPr="00900F7D">
        <w:rPr>
          <w:i/>
          <w:iCs/>
          <w:sz w:val="16"/>
        </w:rPr>
        <w:t>Precision Agric</w:t>
      </w:r>
      <w:r w:rsidRPr="00900F7D">
        <w:rPr>
          <w:sz w:val="16"/>
        </w:rPr>
        <w:t>, vol. 24, no. 1, pp. 68–91, Feb. 2023, doi: 10.1007/s11119-022-09931-1.</w:t>
      </w:r>
    </w:p>
    <w:p w14:paraId="324F1040" w14:textId="77777777" w:rsidR="00900F7D" w:rsidRPr="00900F7D" w:rsidRDefault="00900F7D" w:rsidP="0091690C">
      <w:pPr>
        <w:pStyle w:val="Bibliography"/>
        <w:spacing w:after="0"/>
        <w:ind w:left="426" w:hanging="426"/>
        <w:rPr>
          <w:sz w:val="16"/>
        </w:rPr>
      </w:pPr>
      <w:r w:rsidRPr="00900F7D">
        <w:rPr>
          <w:sz w:val="16"/>
        </w:rPr>
        <w:t>[34]</w:t>
      </w:r>
      <w:r w:rsidRPr="00900F7D">
        <w:rPr>
          <w:sz w:val="16"/>
        </w:rPr>
        <w:tab/>
        <w:t xml:space="preserve">T. Mizik, “How can precision farming work on a small scale? A systematic literature review,” </w:t>
      </w:r>
      <w:r w:rsidRPr="00900F7D">
        <w:rPr>
          <w:i/>
          <w:iCs/>
          <w:sz w:val="16"/>
        </w:rPr>
        <w:t>Precision Agric</w:t>
      </w:r>
      <w:r w:rsidRPr="00900F7D">
        <w:rPr>
          <w:sz w:val="16"/>
        </w:rPr>
        <w:t>, vol. 24, no. 1, pp. 384–406, Feb. 2023, doi: 10.1007/s11119-022-09934-y.</w:t>
      </w:r>
    </w:p>
    <w:p w14:paraId="1E2F2CF0" w14:textId="77777777" w:rsidR="00900F7D" w:rsidRPr="00900F7D" w:rsidRDefault="00900F7D" w:rsidP="0091690C">
      <w:pPr>
        <w:pStyle w:val="Bibliography"/>
        <w:spacing w:after="0"/>
        <w:ind w:left="426" w:hanging="426"/>
        <w:rPr>
          <w:sz w:val="16"/>
        </w:rPr>
      </w:pPr>
      <w:r w:rsidRPr="00900F7D">
        <w:rPr>
          <w:sz w:val="16"/>
        </w:rPr>
        <w:t>[35]</w:t>
      </w:r>
      <w:r w:rsidRPr="00900F7D">
        <w:rPr>
          <w:sz w:val="16"/>
        </w:rPr>
        <w:tab/>
        <w:t xml:space="preserve">M. Tropea, L. M. S. Campoverde, and F. De Rango, “Exploiting Ai in Iot Smart Irrigation Management System: Reinforcement Learning vs Fuzzy Logic Models,” Jun. 29, 2022, </w:t>
      </w:r>
      <w:r w:rsidRPr="00900F7D">
        <w:rPr>
          <w:i/>
          <w:iCs/>
          <w:sz w:val="16"/>
        </w:rPr>
        <w:t>Rochester, NY</w:t>
      </w:r>
      <w:r w:rsidRPr="00900F7D">
        <w:rPr>
          <w:sz w:val="16"/>
        </w:rPr>
        <w:t>: 4149708. doi: 10.2139/ssrn.4149708.</w:t>
      </w:r>
    </w:p>
    <w:p w14:paraId="12DBA3D2" w14:textId="77777777" w:rsidR="00900F7D" w:rsidRPr="00900F7D" w:rsidRDefault="00900F7D" w:rsidP="0091690C">
      <w:pPr>
        <w:pStyle w:val="Bibliography"/>
        <w:spacing w:after="0"/>
        <w:ind w:left="426" w:hanging="426"/>
        <w:rPr>
          <w:sz w:val="16"/>
        </w:rPr>
      </w:pPr>
      <w:r w:rsidRPr="00900F7D">
        <w:rPr>
          <w:sz w:val="16"/>
        </w:rPr>
        <w:t>[36]</w:t>
      </w:r>
      <w:r w:rsidRPr="00900F7D">
        <w:rPr>
          <w:sz w:val="16"/>
        </w:rPr>
        <w:tab/>
        <w:t xml:space="preserve">R. M. Devi, “Toward Smart Agriculture for Climate Change Adaptation,” </w:t>
      </w:r>
      <w:r w:rsidRPr="00900F7D">
        <w:rPr>
          <w:i/>
          <w:iCs/>
          <w:sz w:val="16"/>
        </w:rPr>
        <w:t>Springer Climate</w:t>
      </w:r>
      <w:r w:rsidRPr="00900F7D">
        <w:rPr>
          <w:sz w:val="16"/>
        </w:rPr>
        <w:t>, pp. 469–482, 2023, doi: 10.1007/978-3-031-19059-9_19.</w:t>
      </w:r>
    </w:p>
    <w:p w14:paraId="0F285E59" w14:textId="77777777" w:rsidR="00900F7D" w:rsidRPr="00900F7D" w:rsidRDefault="00900F7D" w:rsidP="0091690C">
      <w:pPr>
        <w:pStyle w:val="Bibliography"/>
        <w:spacing w:after="0"/>
        <w:ind w:left="426" w:hanging="426"/>
        <w:rPr>
          <w:sz w:val="16"/>
        </w:rPr>
      </w:pPr>
      <w:r w:rsidRPr="00900F7D">
        <w:rPr>
          <w:sz w:val="16"/>
        </w:rPr>
        <w:t>[37]</w:t>
      </w:r>
      <w:r w:rsidRPr="00900F7D">
        <w:rPr>
          <w:sz w:val="16"/>
        </w:rPr>
        <w:tab/>
        <w:t xml:space="preserve">G. Goldenits, K. Mallinger, S. Raubitzek, and T. Neubauer, “Current applications and potential future directions of reinforcement learning-based Digital Twins in agriculture,” </w:t>
      </w:r>
      <w:r w:rsidRPr="00900F7D">
        <w:rPr>
          <w:i/>
          <w:iCs/>
          <w:sz w:val="16"/>
        </w:rPr>
        <w:t>Smart Agricultural Technology</w:t>
      </w:r>
      <w:r w:rsidRPr="00900F7D">
        <w:rPr>
          <w:sz w:val="16"/>
        </w:rPr>
        <w:t>, vol. 8, p. 100512, Aug. 2024, doi: 10.1016/j.atech.2024.100512.</w:t>
      </w:r>
    </w:p>
    <w:p w14:paraId="1AB83282" w14:textId="77777777" w:rsidR="00900F7D" w:rsidRPr="00900F7D" w:rsidRDefault="00900F7D" w:rsidP="0091690C">
      <w:pPr>
        <w:pStyle w:val="Bibliography"/>
        <w:spacing w:after="0"/>
        <w:ind w:left="426" w:hanging="426"/>
        <w:rPr>
          <w:sz w:val="16"/>
        </w:rPr>
      </w:pPr>
      <w:r w:rsidRPr="00900F7D">
        <w:rPr>
          <w:sz w:val="16"/>
        </w:rPr>
        <w:t>[38]</w:t>
      </w:r>
      <w:r w:rsidRPr="00900F7D">
        <w:rPr>
          <w:sz w:val="16"/>
        </w:rPr>
        <w:tab/>
        <w:t xml:space="preserve">M. Qian, C. Qian, G. Xu, P. Tian, and W. Yu, “Smart Irrigation Systems from Cyber–Physical Perspective: State of Art and Future Directions,” </w:t>
      </w:r>
      <w:r w:rsidRPr="00900F7D">
        <w:rPr>
          <w:i/>
          <w:iCs/>
          <w:sz w:val="16"/>
        </w:rPr>
        <w:t>Future Internet</w:t>
      </w:r>
      <w:r w:rsidRPr="00900F7D">
        <w:rPr>
          <w:sz w:val="16"/>
        </w:rPr>
        <w:t>, vol. 16, no. 7, Art. no. 7, Jul. 2024, doi: 10.3390/fi16070234.</w:t>
      </w:r>
    </w:p>
    <w:p w14:paraId="27766538" w14:textId="77777777" w:rsidR="00900F7D" w:rsidRPr="00900F7D" w:rsidRDefault="00900F7D" w:rsidP="0091690C">
      <w:pPr>
        <w:pStyle w:val="Bibliography"/>
        <w:spacing w:after="0"/>
        <w:ind w:left="426" w:hanging="426"/>
        <w:rPr>
          <w:sz w:val="16"/>
        </w:rPr>
      </w:pPr>
      <w:r w:rsidRPr="00900F7D">
        <w:rPr>
          <w:sz w:val="16"/>
        </w:rPr>
        <w:t>[39]</w:t>
      </w:r>
      <w:r w:rsidRPr="00900F7D">
        <w:rPr>
          <w:sz w:val="16"/>
        </w:rPr>
        <w:tab/>
        <w:t xml:space="preserve">C. Verdouw, B. Tekinerdogan, A. Beulens, and S. Wolfert, “Digital twins in smart farming,” </w:t>
      </w:r>
      <w:r w:rsidRPr="00900F7D">
        <w:rPr>
          <w:i/>
          <w:iCs/>
          <w:sz w:val="16"/>
        </w:rPr>
        <w:t>Agricultural Systems</w:t>
      </w:r>
      <w:r w:rsidRPr="00900F7D">
        <w:rPr>
          <w:sz w:val="16"/>
        </w:rPr>
        <w:t>, vol. 189, p. 103046, Apr. 2021, doi: 10.1016/j.agsy.2020.103046.</w:t>
      </w:r>
    </w:p>
    <w:p w14:paraId="0415CD78" w14:textId="77777777" w:rsidR="00900F7D" w:rsidRPr="00900F7D" w:rsidRDefault="00900F7D" w:rsidP="0091690C">
      <w:pPr>
        <w:pStyle w:val="Bibliography"/>
        <w:spacing w:after="0"/>
        <w:ind w:left="426" w:hanging="426"/>
        <w:rPr>
          <w:sz w:val="16"/>
        </w:rPr>
      </w:pPr>
      <w:r w:rsidRPr="00900F7D">
        <w:rPr>
          <w:sz w:val="16"/>
        </w:rPr>
        <w:t>[40]</w:t>
      </w:r>
      <w:r w:rsidRPr="00900F7D">
        <w:rPr>
          <w:sz w:val="16"/>
        </w:rPr>
        <w:tab/>
        <w:t xml:space="preserve">Z. Zhai, J. F. Martínez, V. Beltran, and N. L. Martínez, “Decision support systems for agriculture 4.0: Survey and challenges,” </w:t>
      </w:r>
      <w:r w:rsidRPr="00900F7D">
        <w:rPr>
          <w:i/>
          <w:iCs/>
          <w:sz w:val="16"/>
        </w:rPr>
        <w:t>Computers and Electronics in Agriculture</w:t>
      </w:r>
      <w:r w:rsidRPr="00900F7D">
        <w:rPr>
          <w:sz w:val="16"/>
        </w:rPr>
        <w:t>, vol. 170, p. 105256, Mar. 2020, doi: 10.1016/j.compag.2020.105256.</w:t>
      </w:r>
    </w:p>
    <w:p w14:paraId="537829F1" w14:textId="77777777" w:rsidR="00900F7D" w:rsidRPr="00900F7D" w:rsidRDefault="00900F7D" w:rsidP="0091690C">
      <w:pPr>
        <w:pStyle w:val="Bibliography"/>
        <w:spacing w:after="0"/>
        <w:ind w:left="426" w:hanging="426"/>
        <w:rPr>
          <w:sz w:val="16"/>
        </w:rPr>
      </w:pPr>
      <w:r w:rsidRPr="00900F7D">
        <w:rPr>
          <w:sz w:val="16"/>
        </w:rPr>
        <w:t>[41]</w:t>
      </w:r>
      <w:r w:rsidRPr="00900F7D">
        <w:rPr>
          <w:sz w:val="16"/>
        </w:rPr>
        <w:tab/>
        <w:t xml:space="preserve">“Next Generation Task Controller for agricultural Machinery using OPC Unified architecture,” </w:t>
      </w:r>
      <w:r w:rsidRPr="00900F7D">
        <w:rPr>
          <w:i/>
          <w:iCs/>
          <w:sz w:val="16"/>
        </w:rPr>
        <w:t>Computers and Electronics in Agriculture</w:t>
      </w:r>
      <w:r w:rsidRPr="00900F7D">
        <w:rPr>
          <w:sz w:val="16"/>
        </w:rPr>
        <w:t>, vol. 203, p. 107475, Dec. 2022, doi: 10.1016/j.compag.2022.107475.</w:t>
      </w:r>
    </w:p>
    <w:p w14:paraId="43EDE8FA" w14:textId="77777777" w:rsidR="00900F7D" w:rsidRPr="00900F7D" w:rsidRDefault="00900F7D" w:rsidP="0091690C">
      <w:pPr>
        <w:pStyle w:val="Bibliography"/>
        <w:spacing w:after="0"/>
        <w:ind w:left="426" w:hanging="426"/>
        <w:rPr>
          <w:sz w:val="16"/>
        </w:rPr>
      </w:pPr>
      <w:r w:rsidRPr="00900F7D">
        <w:rPr>
          <w:sz w:val="16"/>
        </w:rPr>
        <w:t>[42]</w:t>
      </w:r>
      <w:r w:rsidRPr="00900F7D">
        <w:rPr>
          <w:sz w:val="16"/>
        </w:rPr>
        <w:tab/>
        <w:t xml:space="preserve">R. Dwiyani, Y. Fitriani, F. G. S. Ana, and P. O. Bimantara, “A Study of Acclimatization Media on Strawberry (Fragaria x ananassa Duch.) Plantlets Produced from Meristem Culture,” </w:t>
      </w:r>
      <w:r w:rsidRPr="00900F7D">
        <w:rPr>
          <w:i/>
          <w:iCs/>
          <w:sz w:val="16"/>
        </w:rPr>
        <w:t>AgriHealth: Journal of Agri-food, Nutrition and Public Health</w:t>
      </w:r>
      <w:r w:rsidRPr="00900F7D">
        <w:rPr>
          <w:sz w:val="16"/>
        </w:rPr>
        <w:t>, vol. 5, no. 2, Art. no. 2, Jun. 2024, doi: 10.20961/</w:t>
      </w:r>
      <w:proofErr w:type="gramStart"/>
      <w:r w:rsidRPr="00900F7D">
        <w:rPr>
          <w:sz w:val="16"/>
        </w:rPr>
        <w:t>agrihealth.v</w:t>
      </w:r>
      <w:proofErr w:type="gramEnd"/>
      <w:r w:rsidRPr="00900F7D">
        <w:rPr>
          <w:sz w:val="16"/>
        </w:rPr>
        <w:t>5i2.85776.</w:t>
      </w:r>
    </w:p>
    <w:p w14:paraId="190FA447" w14:textId="77777777" w:rsidR="00900F7D" w:rsidRPr="00900F7D" w:rsidRDefault="00900F7D" w:rsidP="0091690C">
      <w:pPr>
        <w:pStyle w:val="Bibliography"/>
        <w:spacing w:after="0"/>
        <w:ind w:left="426" w:hanging="426"/>
        <w:rPr>
          <w:sz w:val="16"/>
        </w:rPr>
      </w:pPr>
      <w:r w:rsidRPr="00900F7D">
        <w:rPr>
          <w:sz w:val="16"/>
        </w:rPr>
        <w:t>[43]</w:t>
      </w:r>
      <w:r w:rsidRPr="00900F7D">
        <w:rPr>
          <w:sz w:val="16"/>
        </w:rPr>
        <w:tab/>
        <w:t>“Watering Strawberry (Fragaria X Anannasa) Plants in a Greenhouse Using IoT-Based Drip Irrigation | Journal of Computer Science and Technology Studies.” Accessed: Dec. 29, 2024. [Online]. Available: https://al-kindipublisher.com/index.php/jcsts/article/view/3351</w:t>
      </w:r>
    </w:p>
    <w:p w14:paraId="081DE906" w14:textId="77777777" w:rsidR="00900F7D" w:rsidRPr="00900F7D" w:rsidRDefault="00900F7D" w:rsidP="0091690C">
      <w:pPr>
        <w:pStyle w:val="Bibliography"/>
        <w:spacing w:after="0"/>
        <w:ind w:left="426" w:hanging="426"/>
        <w:rPr>
          <w:sz w:val="16"/>
        </w:rPr>
      </w:pPr>
      <w:r w:rsidRPr="00900F7D">
        <w:rPr>
          <w:sz w:val="16"/>
        </w:rPr>
        <w:t>[44]</w:t>
      </w:r>
      <w:r w:rsidRPr="00900F7D">
        <w:rPr>
          <w:sz w:val="16"/>
        </w:rPr>
        <w:tab/>
        <w:t xml:space="preserve">M. McCaig, R. Dara, and D. Rezania, “Farmer-centric design thinking principles for smart farming technologies,” </w:t>
      </w:r>
      <w:r w:rsidRPr="00900F7D">
        <w:rPr>
          <w:i/>
          <w:iCs/>
          <w:sz w:val="16"/>
        </w:rPr>
        <w:t>Internet of Things</w:t>
      </w:r>
      <w:r w:rsidRPr="00900F7D">
        <w:rPr>
          <w:sz w:val="16"/>
        </w:rPr>
        <w:t>, vol. 23, p. 100898, Oct. 2023, doi: 10.1016/j.iot.2023.100898.</w:t>
      </w:r>
    </w:p>
    <w:p w14:paraId="7E814B9D" w14:textId="77777777" w:rsidR="00900F7D" w:rsidRPr="00900F7D" w:rsidRDefault="00900F7D" w:rsidP="0091690C">
      <w:pPr>
        <w:pStyle w:val="Bibliography"/>
        <w:spacing w:after="0"/>
        <w:ind w:left="426" w:hanging="426"/>
        <w:rPr>
          <w:sz w:val="16"/>
        </w:rPr>
      </w:pPr>
      <w:r w:rsidRPr="00900F7D">
        <w:rPr>
          <w:sz w:val="16"/>
        </w:rPr>
        <w:t>[45]</w:t>
      </w:r>
      <w:r w:rsidRPr="00900F7D">
        <w:rPr>
          <w:sz w:val="16"/>
        </w:rPr>
        <w:tab/>
        <w:t xml:space="preserve">J. Lee, B. Bagheri, and H.-A. Kao, “A Cyber-Physical Systems architecture for Industry 4.0-based manufacturing systems,” </w:t>
      </w:r>
      <w:r w:rsidRPr="00900F7D">
        <w:rPr>
          <w:i/>
          <w:iCs/>
          <w:sz w:val="16"/>
        </w:rPr>
        <w:t>Manufacturing Letters</w:t>
      </w:r>
      <w:r w:rsidRPr="00900F7D">
        <w:rPr>
          <w:sz w:val="16"/>
        </w:rPr>
        <w:t>, vol. 3, pp. 18–23, Jan. 2015, doi: 10.1016/j.mfglet.2014.12.001.</w:t>
      </w:r>
    </w:p>
    <w:p w14:paraId="413ECE54" w14:textId="77777777" w:rsidR="00900F7D" w:rsidRPr="00900F7D" w:rsidRDefault="00900F7D" w:rsidP="0091690C">
      <w:pPr>
        <w:pStyle w:val="Bibliography"/>
        <w:spacing w:after="0"/>
        <w:ind w:left="426" w:hanging="426"/>
        <w:rPr>
          <w:sz w:val="16"/>
        </w:rPr>
      </w:pPr>
      <w:r w:rsidRPr="00900F7D">
        <w:rPr>
          <w:sz w:val="16"/>
        </w:rPr>
        <w:t>[46]</w:t>
      </w:r>
      <w:r w:rsidRPr="00900F7D">
        <w:rPr>
          <w:sz w:val="16"/>
        </w:rPr>
        <w:tab/>
        <w:t xml:space="preserve">R. van Dinter, B. Tekinerdogan, and C. Catal, “Reference architecture for digital twin-based predictive maintenance systems,” </w:t>
      </w:r>
      <w:r w:rsidRPr="00900F7D">
        <w:rPr>
          <w:i/>
          <w:iCs/>
          <w:sz w:val="16"/>
        </w:rPr>
        <w:t>Computers &amp; Industrial Engineering</w:t>
      </w:r>
      <w:r w:rsidRPr="00900F7D">
        <w:rPr>
          <w:sz w:val="16"/>
        </w:rPr>
        <w:t>, vol. 177, p. 109099, Mar. 2023, doi: 10.1016/j.cie.2023.109099.</w:t>
      </w:r>
    </w:p>
    <w:p w14:paraId="217E55F1" w14:textId="77777777" w:rsidR="00900F7D" w:rsidRPr="00900F7D" w:rsidRDefault="00900F7D" w:rsidP="0091690C">
      <w:pPr>
        <w:pStyle w:val="Bibliography"/>
        <w:spacing w:after="0"/>
        <w:ind w:left="426" w:hanging="426"/>
        <w:rPr>
          <w:sz w:val="16"/>
        </w:rPr>
      </w:pPr>
      <w:r w:rsidRPr="00900F7D">
        <w:rPr>
          <w:sz w:val="16"/>
        </w:rPr>
        <w:t>[47]</w:t>
      </w:r>
      <w:r w:rsidRPr="00900F7D">
        <w:rPr>
          <w:sz w:val="16"/>
        </w:rPr>
        <w:tab/>
        <w:t xml:space="preserve">R. Garg, M. Chawla, A. Bhan, and S. Dixit, “Advancing Sustainable Security: AI-Driven Embedded Hardware for Mobile Robotics,” </w:t>
      </w:r>
      <w:r w:rsidRPr="00900F7D">
        <w:rPr>
          <w:i/>
          <w:iCs/>
          <w:sz w:val="16"/>
        </w:rPr>
        <w:t>Communications in Computer and Information Science</w:t>
      </w:r>
      <w:r w:rsidRPr="00900F7D">
        <w:rPr>
          <w:sz w:val="16"/>
        </w:rPr>
        <w:t>, vol. 2196 CCIS, pp. 26–36, 2025, doi: 10.1007/978-3-031-71729-1_3.</w:t>
      </w:r>
    </w:p>
    <w:p w14:paraId="06B3C7D6" w14:textId="77777777" w:rsidR="00900F7D" w:rsidRPr="00900F7D" w:rsidRDefault="00900F7D" w:rsidP="0091690C">
      <w:pPr>
        <w:pStyle w:val="Bibliography"/>
        <w:spacing w:after="0"/>
        <w:ind w:left="426" w:hanging="426"/>
        <w:rPr>
          <w:sz w:val="16"/>
        </w:rPr>
      </w:pPr>
      <w:r w:rsidRPr="00900F7D">
        <w:rPr>
          <w:sz w:val="16"/>
        </w:rPr>
        <w:t>[48]</w:t>
      </w:r>
      <w:r w:rsidRPr="00900F7D">
        <w:rPr>
          <w:sz w:val="16"/>
        </w:rPr>
        <w:tab/>
        <w:t xml:space="preserve">S. S. Castro, M. J. Suárez López, D. G. Menéndez, and E. B. Marigorta, “Decision matrix methodology for retrofitting techniques of existing buildings,” </w:t>
      </w:r>
      <w:r w:rsidRPr="00900F7D">
        <w:rPr>
          <w:i/>
          <w:iCs/>
          <w:sz w:val="16"/>
        </w:rPr>
        <w:t>Journal of Cleaner Production</w:t>
      </w:r>
      <w:r w:rsidRPr="00900F7D">
        <w:rPr>
          <w:sz w:val="16"/>
        </w:rPr>
        <w:t>, vol. 240, p. 118153, Dec. 2019, doi: 10.1016/j.jclepro.2019.118153.</w:t>
      </w:r>
    </w:p>
    <w:p w14:paraId="3A060295" w14:textId="77777777" w:rsidR="00900F7D" w:rsidRPr="00900F7D" w:rsidRDefault="00900F7D" w:rsidP="0091690C">
      <w:pPr>
        <w:pStyle w:val="Bibliography"/>
        <w:spacing w:after="0"/>
        <w:ind w:left="426" w:hanging="426"/>
        <w:rPr>
          <w:sz w:val="16"/>
        </w:rPr>
      </w:pPr>
      <w:r w:rsidRPr="00900F7D">
        <w:rPr>
          <w:sz w:val="16"/>
        </w:rPr>
        <w:t>[49]</w:t>
      </w:r>
      <w:r w:rsidRPr="00900F7D">
        <w:rPr>
          <w:sz w:val="16"/>
        </w:rPr>
        <w:tab/>
        <w:t>thingsboard, “ThingsBoard Edge,” ThingsBoard. Accessed: Dec. 29, 2024. [Online]. Available: https://thingsboard.io/products/thingsboard-edge/</w:t>
      </w:r>
    </w:p>
    <w:bookmarkEnd w:id="31"/>
    <w:p w14:paraId="139DDD8E" w14:textId="77777777" w:rsidR="00F51085" w:rsidRDefault="007C4D6B">
      <w:pPr>
        <w:pStyle w:val="Rujukan"/>
        <w:ind w:left="426" w:hanging="426"/>
      </w:pPr>
      <w:r>
        <w:br/>
      </w:r>
    </w:p>
    <w:p w14:paraId="2A4958BE" w14:textId="77777777" w:rsidR="00F51085" w:rsidRDefault="00F51085">
      <w:pPr>
        <w:sectPr w:rsidR="00F51085">
          <w:type w:val="continuous"/>
          <w:pgSz w:w="11906" w:h="16838"/>
          <w:pgMar w:top="1418" w:right="1418" w:bottom="1418" w:left="1418" w:header="709" w:footer="709" w:gutter="0"/>
          <w:cols w:num="2" w:space="226"/>
          <w:formProt w:val="0"/>
          <w:titlePg/>
          <w:docGrid w:linePitch="360" w:charSpace="32768"/>
        </w:sectPr>
      </w:pPr>
    </w:p>
    <w:p w14:paraId="5ADE47CA" w14:textId="77777777" w:rsidR="00F51085" w:rsidRDefault="00F51085">
      <w:pPr>
        <w:rPr>
          <w:color w:val="0070C0"/>
          <w:sz w:val="24"/>
        </w:rPr>
      </w:pPr>
    </w:p>
    <w:sectPr w:rsidR="00F51085" w:rsidSect="00F51085">
      <w:type w:val="continuous"/>
      <w:pgSz w:w="11906" w:h="16838"/>
      <w:pgMar w:top="1418" w:right="1418" w:bottom="1418" w:left="1418" w:header="709" w:footer="709" w:gutter="0"/>
      <w:cols w:space="720"/>
      <w:formProt w:val="0"/>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2F9A" w14:textId="77777777" w:rsidR="00361AFC" w:rsidRDefault="00361AFC" w:rsidP="00F51085">
      <w:pPr>
        <w:spacing w:after="0"/>
      </w:pPr>
      <w:r>
        <w:separator/>
      </w:r>
    </w:p>
  </w:endnote>
  <w:endnote w:type="continuationSeparator" w:id="0">
    <w:p w14:paraId="2840C952" w14:textId="77777777" w:rsidR="00361AFC" w:rsidRDefault="00361AFC" w:rsidP="00F51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NSimSun">
    <w:panose1 w:val="02010609030101010101"/>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46C7" w14:textId="77777777" w:rsidR="00F51085" w:rsidRDefault="00F51085">
    <w:pPr>
      <w:pStyle w:val="Footer"/>
      <w:pBdr>
        <w:bottom w:val="single" w:sz="6" w:space="1" w:color="000000"/>
      </w:pBdr>
      <w:jc w:val="right"/>
    </w:pPr>
  </w:p>
  <w:p w14:paraId="2FDF1C02" w14:textId="77777777" w:rsidR="00F51085" w:rsidRDefault="007C4D6B">
    <w:pPr>
      <w:pStyle w:val="Footer"/>
      <w:tabs>
        <w:tab w:val="clear" w:pos="4513"/>
        <w:tab w:val="clear" w:pos="9026"/>
      </w:tabs>
      <w:jc w:val="right"/>
    </w:pPr>
    <w:r>
      <w:rPr>
        <w:rFonts w:eastAsia="Times New Roman"/>
        <w:i/>
        <w:iCs/>
        <w:color w:val="000000"/>
      </w:rPr>
      <w:t xml:space="preserve"> </w:t>
    </w:r>
    <w:r>
      <w:rPr>
        <w:rFonts w:eastAsia="Times New Roman"/>
        <w:i/>
        <w:iCs/>
        <w:color w:val="000000"/>
        <w:lang w:val="id-ID"/>
      </w:rPr>
      <w:t xml:space="preserve">                                                                                </w:t>
    </w:r>
    <w:r w:rsidR="00F51085">
      <w:fldChar w:fldCharType="begin"/>
    </w:r>
    <w:r>
      <w:instrText xml:space="preserve"> PAGE </w:instrText>
    </w:r>
    <w:r w:rsidR="00F51085">
      <w:fldChar w:fldCharType="separate"/>
    </w:r>
    <w:r w:rsidR="00900F7D">
      <w:rPr>
        <w:noProof/>
      </w:rPr>
      <w:t>474</w:t>
    </w:r>
    <w:r w:rsidR="00F51085">
      <w:fldChar w:fldCharType="end"/>
    </w:r>
  </w:p>
  <w:p w14:paraId="1D4238CB" w14:textId="77777777" w:rsidR="00F51085" w:rsidRDefault="00F510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A724" w14:textId="77777777" w:rsidR="00F51085" w:rsidRDefault="007C4D6B">
    <w:pPr>
      <w:pStyle w:val="Footer"/>
      <w:pBdr>
        <w:bottom w:val="single" w:sz="6" w:space="1" w:color="000000"/>
      </w:pBdr>
      <w:spacing w:before="120"/>
      <w:jc w:val="center"/>
      <w:rPr>
        <w:lang w:val="id-ID"/>
      </w:rPr>
    </w:pPr>
    <w:r>
      <w:t xml:space="preserve"> </w:t>
    </w:r>
  </w:p>
  <w:p w14:paraId="4E88F96D" w14:textId="77777777" w:rsidR="00F51085" w:rsidRDefault="00F51085">
    <w:pPr>
      <w:pStyle w:val="Footer"/>
      <w:jc w:val="center"/>
    </w:pPr>
    <w:r>
      <w:fldChar w:fldCharType="begin"/>
    </w:r>
    <w:r w:rsidR="007C4D6B">
      <w:instrText xml:space="preserve"> PAGE </w:instrText>
    </w:r>
    <w:r>
      <w:fldChar w:fldCharType="separate"/>
    </w:r>
    <w:r w:rsidR="00900F7D">
      <w:rPr>
        <w:noProof/>
      </w:rPr>
      <w:t>465</w:t>
    </w:r>
    <w:r>
      <w:fldChar w:fldCharType="end"/>
    </w:r>
  </w:p>
  <w:p w14:paraId="77D5B36B" w14:textId="77777777" w:rsidR="00F51085" w:rsidRDefault="00F51085">
    <w:pPr>
      <w:pStyle w:val="Footer"/>
    </w:pPr>
  </w:p>
  <w:p w14:paraId="5C51147E" w14:textId="77777777" w:rsidR="00F51085" w:rsidRDefault="007C4D6B">
    <w:pPr>
      <w:pStyle w:val="Footer"/>
      <w:tabs>
        <w:tab w:val="clear" w:pos="4513"/>
        <w:tab w:val="clear" w:pos="9026"/>
        <w:tab w:val="left" w:pos="6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BC3A7" w14:textId="77777777" w:rsidR="00361AFC" w:rsidRDefault="00361AFC" w:rsidP="00F51085">
      <w:pPr>
        <w:spacing w:after="0"/>
      </w:pPr>
      <w:r>
        <w:separator/>
      </w:r>
    </w:p>
  </w:footnote>
  <w:footnote w:type="continuationSeparator" w:id="0">
    <w:p w14:paraId="102787D5" w14:textId="77777777" w:rsidR="00361AFC" w:rsidRDefault="00361AFC" w:rsidP="00F51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0EF4" w14:textId="77777777" w:rsidR="00F51085" w:rsidRDefault="00F51085">
    <w:pPr>
      <w:pStyle w:val="Subtitle"/>
      <w:pBdr>
        <w:bottom w:val="single" w:sz="6" w:space="1" w:color="000000"/>
      </w:pBdr>
      <w:spacing w:after="20"/>
      <w:jc w:val="both"/>
      <w:rPr>
        <w:rStyle w:val="SubtleEmphasis"/>
        <w:b w:val="0"/>
        <w:i/>
        <w:iCs w:val="0"/>
        <w:szCs w:val="18"/>
        <w:lang w:val="nb-NO"/>
      </w:rPr>
    </w:pPr>
  </w:p>
  <w:p w14:paraId="43F07DC8" w14:textId="53C32CDA" w:rsidR="00F51085" w:rsidRDefault="007C4D6B">
    <w:pPr>
      <w:pStyle w:val="Subtitle"/>
      <w:pBdr>
        <w:bottom w:val="single" w:sz="6" w:space="1" w:color="000000"/>
      </w:pBdr>
      <w:spacing w:after="20"/>
      <w:jc w:val="both"/>
      <w:rPr>
        <w:b w:val="0"/>
        <w:color w:val="000000"/>
        <w:sz w:val="18"/>
        <w:szCs w:val="18"/>
        <w:lang w:val="nb-NO"/>
      </w:rPr>
    </w:pPr>
    <w:bookmarkStart w:id="0" w:name="_Hlk70543852"/>
    <w:r>
      <w:rPr>
        <w:rStyle w:val="SubtleEmphasis"/>
        <w:b w:val="0"/>
        <w:i/>
        <w:iCs w:val="0"/>
        <w:szCs w:val="18"/>
        <w:lang w:val="nb-NO"/>
      </w:rPr>
      <w:t>Suranata et al</w:t>
    </w:r>
    <w:r>
      <w:rPr>
        <w:rStyle w:val="SubtleEmphasis"/>
        <w:b w:val="0"/>
        <w:szCs w:val="18"/>
        <w:lang w:val="nb-NO"/>
      </w:rPr>
      <w:t xml:space="preserve"> </w:t>
    </w:r>
    <w:r>
      <w:rPr>
        <w:rStyle w:val="SubtleEmphasis"/>
        <w:b w:val="0"/>
        <w:szCs w:val="18"/>
        <w:lang w:val="nb-NO"/>
      </w:rPr>
      <w:tab/>
      <w:t xml:space="preserve"> </w:t>
    </w:r>
    <w:r>
      <w:rPr>
        <w:rStyle w:val="SubtleEmphasis"/>
        <w:b w:val="0"/>
        <w:szCs w:val="18"/>
        <w:lang w:val="nb-NO"/>
      </w:rPr>
      <w:tab/>
      <w:t xml:space="preserve">                            </w:t>
    </w:r>
    <w:r>
      <w:rPr>
        <w:b w:val="0"/>
        <w:bCs/>
        <w:i/>
        <w:iCs/>
        <w:sz w:val="18"/>
        <w:szCs w:val="18"/>
        <w:lang w:val="nb-NO"/>
      </w:rPr>
      <w:t xml:space="preserve">Jurnal RESTI (Rekayasa Sistem dan Teknologi Informasi), </w:t>
    </w:r>
    <w:r>
      <w:rPr>
        <w:b w:val="0"/>
        <w:i/>
        <w:iCs/>
        <w:sz w:val="18"/>
        <w:szCs w:val="18"/>
        <w:lang w:val="nb-NO"/>
      </w:rPr>
      <w:t>Vol</w:t>
    </w:r>
    <w:r>
      <w:rPr>
        <w:b w:val="0"/>
        <w:i/>
        <w:iCs/>
        <w:color w:val="000000"/>
        <w:spacing w:val="-21"/>
        <w:sz w:val="18"/>
        <w:szCs w:val="18"/>
        <w:lang w:val="nb-NO"/>
      </w:rPr>
      <w:t>.</w:t>
    </w:r>
    <w:r>
      <w:rPr>
        <w:b w:val="0"/>
        <w:i/>
        <w:iCs/>
        <w:color w:val="000000"/>
        <w:sz w:val="18"/>
        <w:szCs w:val="18"/>
        <w:lang w:val="nb-NO"/>
      </w:rPr>
      <w:t xml:space="preserve"> 9 No. 3 </w:t>
    </w:r>
    <w:r>
      <w:rPr>
        <w:b w:val="0"/>
        <w:color w:val="000000"/>
        <w:sz w:val="18"/>
        <w:szCs w:val="18"/>
        <w:lang w:val="nb-NO"/>
      </w:rPr>
      <w:t>(</w:t>
    </w:r>
    <w:r>
      <w:rPr>
        <w:b w:val="0"/>
        <w:i/>
        <w:iCs/>
        <w:color w:val="000000"/>
        <w:sz w:val="18"/>
        <w:szCs w:val="18"/>
        <w:lang w:val="nb-NO"/>
      </w:rPr>
      <w:t>2025</w:t>
    </w:r>
    <w:r>
      <w:rPr>
        <w:b w:val="0"/>
        <w:color w:val="000000"/>
        <w:sz w:val="18"/>
        <w:szCs w:val="18"/>
        <w:lang w:val="nb-NO"/>
      </w:rPr>
      <w:t>)</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D250C"/>
    <w:multiLevelType w:val="multilevel"/>
    <w:tmpl w:val="3586C434"/>
    <w:lvl w:ilvl="0">
      <w:start w:val="1"/>
      <w:numFmt w:val="decimal"/>
      <w:lvlText w:val="%1."/>
      <w:lvlJc w:val="left"/>
      <w:pPr>
        <w:tabs>
          <w:tab w:val="num" w:pos="0"/>
        </w:tabs>
        <w:ind w:left="720" w:hanging="360"/>
      </w:pPr>
      <w:rPr>
        <w:color w:val="404040"/>
        <w:sz w:val="20"/>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A875C19"/>
    <w:multiLevelType w:val="multilevel"/>
    <w:tmpl w:val="D1A89752"/>
    <w:lvl w:ilvl="0">
      <w:start w:val="2"/>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475F10"/>
    <w:multiLevelType w:val="multilevel"/>
    <w:tmpl w:val="7F10F4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autoHyphenation/>
  <w:hyphenationZone w:val="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1085"/>
    <w:rsid w:val="00361AFC"/>
    <w:rsid w:val="003A7BE6"/>
    <w:rsid w:val="006D4EA4"/>
    <w:rsid w:val="007148AE"/>
    <w:rsid w:val="007C4D6B"/>
    <w:rsid w:val="008E4DEA"/>
    <w:rsid w:val="00900F7D"/>
    <w:rsid w:val="0091690C"/>
    <w:rsid w:val="00A21814"/>
    <w:rsid w:val="00C8313A"/>
    <w:rsid w:val="00CC1C0B"/>
    <w:rsid w:val="00D4224D"/>
    <w:rsid w:val="00DC01D4"/>
    <w:rsid w:val="00E8357E"/>
    <w:rsid w:val="00F5108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845675"/>
  <w15:docId w15:val="{CB090208-36F2-4540-9A16-3F768F48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598"/>
    <w:pPr>
      <w:spacing w:after="240"/>
      <w:jc w:val="both"/>
    </w:pPr>
    <w:rPr>
      <w:rFonts w:ascii="Times New Roman" w:hAnsi="Times New Roman"/>
      <w:szCs w:val="22"/>
    </w:rPr>
  </w:style>
  <w:style w:type="paragraph" w:styleId="Heading1">
    <w:name w:val="heading 1"/>
    <w:basedOn w:val="Normal"/>
    <w:next w:val="Normal"/>
    <w:link w:val="Heading1Char"/>
    <w:uiPriority w:val="9"/>
    <w:qFormat/>
    <w:rsid w:val="007E5598"/>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unhideWhenUsed/>
    <w:qFormat/>
    <w:rsid w:val="007E5598"/>
    <w:pPr>
      <w:keepNext/>
      <w:keepLines/>
      <w:spacing w:before="240"/>
      <w:outlineLvl w:val="1"/>
    </w:pPr>
    <w:rPr>
      <w:rFonts w:eastAsia="Times New Roman"/>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E5598"/>
    <w:rPr>
      <w:color w:val="0000FF"/>
      <w:u w:val="single"/>
    </w:rPr>
  </w:style>
  <w:style w:type="character" w:styleId="SubtleEmphasis">
    <w:name w:val="Subtle Emphasis"/>
    <w:uiPriority w:val="19"/>
    <w:qFormat/>
    <w:rsid w:val="007E5598"/>
    <w:rPr>
      <w:b w:val="0"/>
      <w:i w:val="0"/>
      <w:iCs/>
      <w:caps w:val="0"/>
      <w:smallCaps w:val="0"/>
      <w:strike w:val="0"/>
      <w:dstrike w:val="0"/>
      <w:vanish w:val="0"/>
      <w:color w:val="404040"/>
      <w:position w:val="0"/>
      <w:sz w:val="18"/>
      <w:vertAlign w:val="baseline"/>
    </w:rPr>
  </w:style>
  <w:style w:type="character" w:customStyle="1" w:styleId="NoSpacingChar">
    <w:name w:val="No Spacing Char"/>
    <w:link w:val="NoSpacing"/>
    <w:qFormat/>
    <w:rsid w:val="007E5598"/>
    <w:rPr>
      <w:color w:val="44546A"/>
      <w:lang w:val="en-US" w:eastAsia="en-US" w:bidi="ar-SA"/>
    </w:rPr>
  </w:style>
  <w:style w:type="character" w:customStyle="1" w:styleId="HeaderChar">
    <w:name w:val="Header Char"/>
    <w:link w:val="Header"/>
    <w:qFormat/>
    <w:rsid w:val="007E5598"/>
    <w:rPr>
      <w:rFonts w:ascii="Times New Roman" w:hAnsi="Times New Roman"/>
      <w:sz w:val="20"/>
      <w:lang w:val="en-US"/>
    </w:rPr>
  </w:style>
  <w:style w:type="character" w:customStyle="1" w:styleId="Heading1Char">
    <w:name w:val="Heading 1 Char"/>
    <w:link w:val="Heading1"/>
    <w:qFormat/>
    <w:rsid w:val="007E5598"/>
    <w:rPr>
      <w:rFonts w:ascii="Times New Roman" w:eastAsia="Times New Roman" w:hAnsi="Times New Roman"/>
      <w:b/>
      <w:bCs/>
      <w:szCs w:val="28"/>
      <w:lang w:val="en-US" w:eastAsia="en-US"/>
    </w:rPr>
  </w:style>
  <w:style w:type="character" w:customStyle="1" w:styleId="SubtitleChar">
    <w:name w:val="Subtitle Char"/>
    <w:link w:val="Subtitle"/>
    <w:uiPriority w:val="11"/>
    <w:qFormat/>
    <w:rsid w:val="007E5598"/>
    <w:rPr>
      <w:rFonts w:ascii="Times New Roman" w:eastAsia="Times New Roman" w:hAnsi="Times New Roman"/>
      <w:b/>
      <w:sz w:val="30"/>
      <w:szCs w:val="24"/>
      <w:lang w:val="en-US" w:eastAsia="en-US"/>
    </w:rPr>
  </w:style>
  <w:style w:type="character" w:customStyle="1" w:styleId="BodyTextChar">
    <w:name w:val="Body Text Char"/>
    <w:link w:val="BodyText"/>
    <w:qFormat/>
    <w:rsid w:val="007E5598"/>
    <w:rPr>
      <w:rFonts w:ascii="Times New Roman" w:hAnsi="Times New Roman"/>
      <w:sz w:val="20"/>
      <w:lang w:val="en-US"/>
    </w:rPr>
  </w:style>
  <w:style w:type="character" w:customStyle="1" w:styleId="BalloonTextChar">
    <w:name w:val="Balloon Text Char"/>
    <w:link w:val="BalloonText"/>
    <w:qFormat/>
    <w:rsid w:val="007E5598"/>
    <w:rPr>
      <w:rFonts w:ascii="Tahoma" w:hAnsi="Tahoma" w:cs="Tahoma"/>
      <w:sz w:val="16"/>
      <w:szCs w:val="16"/>
      <w:lang w:val="en-US"/>
    </w:rPr>
  </w:style>
  <w:style w:type="character" w:customStyle="1" w:styleId="Heading2Char">
    <w:name w:val="Heading 2 Char"/>
    <w:link w:val="Heading2"/>
    <w:qFormat/>
    <w:rsid w:val="007E5598"/>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qFormat/>
    <w:rsid w:val="007E5598"/>
    <w:rPr>
      <w:rFonts w:ascii="Times New Roman" w:eastAsia="SimSun" w:hAnsi="Times New Roman"/>
      <w:sz w:val="24"/>
      <w:szCs w:val="24"/>
      <w:lang w:val="en-AU" w:eastAsia="zh-CN"/>
    </w:rPr>
  </w:style>
  <w:style w:type="character" w:customStyle="1" w:styleId="FooterChar">
    <w:name w:val="Footer Char"/>
    <w:link w:val="Footer"/>
    <w:qFormat/>
    <w:rsid w:val="007E5598"/>
    <w:rPr>
      <w:rFonts w:ascii="Times New Roman" w:hAnsi="Times New Roman"/>
      <w:sz w:val="20"/>
      <w:lang w:val="en-US"/>
    </w:rPr>
  </w:style>
  <w:style w:type="character" w:customStyle="1" w:styleId="TitleChar">
    <w:name w:val="Title Char"/>
    <w:link w:val="Title"/>
    <w:uiPriority w:val="10"/>
    <w:qFormat/>
    <w:rsid w:val="007E5598"/>
    <w:rPr>
      <w:rFonts w:ascii="Times New Roman" w:eastAsia="Times New Roman" w:hAnsi="Times New Roman"/>
      <w:b/>
      <w:spacing w:val="5"/>
      <w:kern w:val="2"/>
      <w:sz w:val="30"/>
      <w:szCs w:val="52"/>
      <w:lang w:val="en-US" w:eastAsia="en-US"/>
    </w:rPr>
  </w:style>
  <w:style w:type="character" w:customStyle="1" w:styleId="RujukanChar">
    <w:name w:val="Rujukan Char"/>
    <w:link w:val="Rujukan"/>
    <w:qFormat/>
    <w:rsid w:val="007E5598"/>
    <w:rPr>
      <w:rFonts w:ascii="Times New Roman" w:hAnsi="Times New Roman"/>
      <w:sz w:val="16"/>
      <w:lang w:val="en-US"/>
    </w:rPr>
  </w:style>
  <w:style w:type="character" w:styleId="Strong">
    <w:name w:val="Strong"/>
    <w:qFormat/>
    <w:rsid w:val="007E5598"/>
    <w:rPr>
      <w:b/>
      <w:bCs/>
    </w:rPr>
  </w:style>
  <w:style w:type="character" w:styleId="PlaceholderText">
    <w:name w:val="Placeholder Text"/>
    <w:basedOn w:val="DefaultParagraphFont"/>
    <w:qFormat/>
    <w:rsid w:val="007E5598"/>
    <w:rPr>
      <w:color w:val="808080"/>
    </w:rPr>
  </w:style>
  <w:style w:type="character" w:customStyle="1" w:styleId="tlid-translation">
    <w:name w:val="tlid-translation"/>
    <w:basedOn w:val="DefaultParagraphFont"/>
    <w:qFormat/>
    <w:rsid w:val="007E5598"/>
  </w:style>
  <w:style w:type="character" w:customStyle="1" w:styleId="UnresolvedMention1">
    <w:name w:val="Unresolved Mention1"/>
    <w:basedOn w:val="DefaultParagraphFont"/>
    <w:qFormat/>
    <w:rsid w:val="007E5598"/>
    <w:rPr>
      <w:color w:val="605E5C"/>
      <w:shd w:val="clear" w:color="auto" w:fill="E1DFDD"/>
    </w:rPr>
  </w:style>
  <w:style w:type="character" w:styleId="FollowedHyperlink">
    <w:name w:val="FollowedHyperlink"/>
    <w:basedOn w:val="DefaultParagraphFont"/>
    <w:rsid w:val="007E5598"/>
    <w:rPr>
      <w:color w:val="800080" w:themeColor="followedHyperlink"/>
      <w:u w:val="single"/>
    </w:rPr>
  </w:style>
  <w:style w:type="character" w:styleId="Emphasis">
    <w:name w:val="Emphasis"/>
    <w:uiPriority w:val="20"/>
    <w:qFormat/>
    <w:rsid w:val="007E5598"/>
    <w:rPr>
      <w:i/>
      <w:iCs/>
    </w:rPr>
  </w:style>
  <w:style w:type="character" w:styleId="CommentReference">
    <w:name w:val="annotation reference"/>
    <w:basedOn w:val="DefaultParagraphFont"/>
    <w:uiPriority w:val="99"/>
    <w:semiHidden/>
    <w:unhideWhenUsed/>
    <w:qFormat/>
    <w:rsid w:val="00DD5F3A"/>
    <w:rPr>
      <w:sz w:val="16"/>
      <w:szCs w:val="16"/>
    </w:rPr>
  </w:style>
  <w:style w:type="character" w:customStyle="1" w:styleId="CommentTextChar">
    <w:name w:val="Comment Text Char"/>
    <w:basedOn w:val="DefaultParagraphFont"/>
    <w:link w:val="CommentText"/>
    <w:uiPriority w:val="99"/>
    <w:qFormat/>
    <w:rsid w:val="00DD5F3A"/>
    <w:rPr>
      <w:rFonts w:ascii="Times New Roman" w:hAnsi="Times New Roman"/>
    </w:rPr>
  </w:style>
  <w:style w:type="character" w:customStyle="1" w:styleId="CommentSubjectChar">
    <w:name w:val="Comment Subject Char"/>
    <w:basedOn w:val="CommentTextChar"/>
    <w:link w:val="CommentSubject"/>
    <w:uiPriority w:val="99"/>
    <w:semiHidden/>
    <w:qFormat/>
    <w:rsid w:val="00DD5F3A"/>
    <w:rPr>
      <w:rFonts w:ascii="Times New Roman" w:hAnsi="Times New Roman"/>
      <w:b/>
      <w:bCs/>
    </w:rPr>
  </w:style>
  <w:style w:type="paragraph" w:customStyle="1" w:styleId="Heading">
    <w:name w:val="Heading"/>
    <w:basedOn w:val="Normal"/>
    <w:next w:val="BodyText"/>
    <w:qFormat/>
    <w:rsid w:val="007E5598"/>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7E5598"/>
    <w:pPr>
      <w:spacing w:after="120"/>
    </w:pPr>
    <w:rPr>
      <w:szCs w:val="20"/>
    </w:rPr>
  </w:style>
  <w:style w:type="paragraph" w:styleId="List">
    <w:name w:val="List"/>
    <w:basedOn w:val="BodyText"/>
    <w:rsid w:val="007E5598"/>
    <w:rPr>
      <w:rFonts w:cs="Lucida Sans"/>
    </w:rPr>
  </w:style>
  <w:style w:type="paragraph" w:styleId="Caption">
    <w:name w:val="caption"/>
    <w:basedOn w:val="Normal"/>
    <w:next w:val="Normal"/>
    <w:qFormat/>
    <w:rsid w:val="007E5598"/>
    <w:pPr>
      <w:spacing w:after="0"/>
      <w:jc w:val="center"/>
    </w:pPr>
    <w:rPr>
      <w:bCs/>
      <w:sz w:val="16"/>
      <w:szCs w:val="18"/>
    </w:rPr>
  </w:style>
  <w:style w:type="paragraph" w:customStyle="1" w:styleId="Index">
    <w:name w:val="Index"/>
    <w:basedOn w:val="Normal"/>
    <w:qFormat/>
    <w:rsid w:val="007E5598"/>
    <w:pPr>
      <w:suppressLineNumbers/>
    </w:pPr>
    <w:rPr>
      <w:rFonts w:cs="Lucida Sans"/>
    </w:rPr>
  </w:style>
  <w:style w:type="paragraph" w:customStyle="1" w:styleId="HeaderandFooter">
    <w:name w:val="Header and Footer"/>
    <w:basedOn w:val="Normal"/>
    <w:qFormat/>
    <w:rsid w:val="007E5598"/>
  </w:style>
  <w:style w:type="paragraph" w:styleId="Footer">
    <w:name w:val="footer"/>
    <w:basedOn w:val="Normal"/>
    <w:link w:val="FooterChar"/>
    <w:rsid w:val="007E5598"/>
    <w:pPr>
      <w:tabs>
        <w:tab w:val="center" w:pos="4513"/>
        <w:tab w:val="right" w:pos="9026"/>
      </w:tabs>
      <w:spacing w:after="0"/>
    </w:pPr>
    <w:rPr>
      <w:szCs w:val="20"/>
    </w:rPr>
  </w:style>
  <w:style w:type="paragraph" w:styleId="Subtitle">
    <w:name w:val="Subtitle"/>
    <w:basedOn w:val="Normal"/>
    <w:next w:val="Normal"/>
    <w:link w:val="SubtitleChar"/>
    <w:uiPriority w:val="11"/>
    <w:qFormat/>
    <w:rsid w:val="007E5598"/>
    <w:pPr>
      <w:spacing w:after="200"/>
      <w:jc w:val="center"/>
      <w:outlineLvl w:val="1"/>
    </w:pPr>
    <w:rPr>
      <w:rFonts w:eastAsia="Times New Roman"/>
      <w:b/>
      <w:sz w:val="30"/>
      <w:szCs w:val="24"/>
    </w:rPr>
  </w:style>
  <w:style w:type="paragraph" w:styleId="Header">
    <w:name w:val="header"/>
    <w:basedOn w:val="Normal"/>
    <w:link w:val="HeaderChar"/>
    <w:rsid w:val="007E5598"/>
    <w:pPr>
      <w:tabs>
        <w:tab w:val="center" w:pos="4513"/>
        <w:tab w:val="right" w:pos="9026"/>
      </w:tabs>
      <w:spacing w:after="0"/>
    </w:pPr>
    <w:rPr>
      <w:szCs w:val="20"/>
    </w:rPr>
  </w:style>
  <w:style w:type="paragraph" w:customStyle="1" w:styleId="TableCategories">
    <w:name w:val="Table Categories"/>
    <w:basedOn w:val="TableCaption"/>
    <w:qFormat/>
    <w:rsid w:val="007E5598"/>
  </w:style>
  <w:style w:type="paragraph" w:styleId="BalloonText">
    <w:name w:val="Balloon Text"/>
    <w:basedOn w:val="Normal"/>
    <w:link w:val="BalloonTextChar"/>
    <w:qFormat/>
    <w:rsid w:val="007E5598"/>
    <w:pPr>
      <w:spacing w:after="0"/>
    </w:pPr>
    <w:rPr>
      <w:rFonts w:ascii="Tahoma" w:hAnsi="Tahoma"/>
      <w:sz w:val="16"/>
      <w:szCs w:val="16"/>
    </w:rPr>
  </w:style>
  <w:style w:type="paragraph" w:customStyle="1" w:styleId="TableCaption">
    <w:name w:val="Table Caption"/>
    <w:basedOn w:val="Normal"/>
    <w:qFormat/>
    <w:rsid w:val="007E5598"/>
    <w:pPr>
      <w:spacing w:after="0"/>
    </w:pPr>
    <w:rPr>
      <w:rFonts w:ascii="Arial" w:eastAsia="Times New Roman" w:hAnsi="Arial"/>
      <w:sz w:val="16"/>
      <w:szCs w:val="24"/>
      <w:lang w:val="en-GB" w:eastAsia="ar-SA"/>
    </w:rPr>
  </w:style>
  <w:style w:type="paragraph" w:customStyle="1" w:styleId="Kode">
    <w:name w:val="Kode"/>
    <w:basedOn w:val="TeksNormal"/>
    <w:qFormat/>
    <w:rsid w:val="007E5598"/>
    <w:pPr>
      <w:ind w:firstLine="0"/>
    </w:pPr>
    <w:rPr>
      <w:rFonts w:ascii="Courier New" w:hAnsi="Courier New"/>
      <w:sz w:val="18"/>
    </w:rPr>
  </w:style>
  <w:style w:type="paragraph" w:customStyle="1" w:styleId="RESTIBodyText">
    <w:name w:val="RESTI_BodyText"/>
    <w:basedOn w:val="BodyText"/>
    <w:qFormat/>
    <w:rsid w:val="007E5598"/>
    <w:pPr>
      <w:jc w:val="left"/>
    </w:pPr>
    <w:rPr>
      <w:rFonts w:eastAsia="MS Mincho"/>
      <w:szCs w:val="24"/>
      <w:lang w:eastAsia="ja-JP"/>
    </w:rPr>
  </w:style>
  <w:style w:type="paragraph" w:styleId="Title">
    <w:name w:val="Title"/>
    <w:basedOn w:val="Normal"/>
    <w:next w:val="Normal"/>
    <w:link w:val="TitleChar"/>
    <w:uiPriority w:val="10"/>
    <w:qFormat/>
    <w:rsid w:val="007E5598"/>
    <w:pPr>
      <w:widowControl w:val="0"/>
      <w:spacing w:before="200" w:after="200"/>
      <w:contextualSpacing/>
      <w:jc w:val="center"/>
    </w:pPr>
    <w:rPr>
      <w:rFonts w:eastAsia="Times New Roman"/>
      <w:b/>
      <w:spacing w:val="5"/>
      <w:kern w:val="2"/>
      <w:sz w:val="30"/>
      <w:szCs w:val="52"/>
    </w:rPr>
  </w:style>
  <w:style w:type="paragraph" w:styleId="ListParagraph">
    <w:name w:val="List Paragraph"/>
    <w:basedOn w:val="Normal"/>
    <w:qFormat/>
    <w:rsid w:val="007E5598"/>
    <w:pPr>
      <w:ind w:left="720"/>
      <w:contextualSpacing/>
    </w:pPr>
  </w:style>
  <w:style w:type="paragraph" w:customStyle="1" w:styleId="Rujukan">
    <w:name w:val="Rujukan"/>
    <w:basedOn w:val="Normal"/>
    <w:link w:val="RujukanChar"/>
    <w:qFormat/>
    <w:rsid w:val="007E5598"/>
    <w:pPr>
      <w:spacing w:after="0"/>
      <w:ind w:left="272" w:hanging="272"/>
    </w:pPr>
    <w:rPr>
      <w:sz w:val="16"/>
      <w:szCs w:val="20"/>
    </w:rPr>
  </w:style>
  <w:style w:type="paragraph" w:customStyle="1" w:styleId="RESTIParagraph">
    <w:name w:val="RESTIParagraph"/>
    <w:basedOn w:val="Normal"/>
    <w:link w:val="RESTIParagraphChar"/>
    <w:qFormat/>
    <w:rsid w:val="007E5598"/>
    <w:pPr>
      <w:snapToGrid w:val="0"/>
      <w:spacing w:after="0"/>
      <w:ind w:firstLine="216"/>
    </w:pPr>
    <w:rPr>
      <w:rFonts w:eastAsia="SimSun"/>
      <w:sz w:val="24"/>
      <w:szCs w:val="24"/>
      <w:lang w:val="en-AU" w:eastAsia="zh-CN"/>
    </w:rPr>
  </w:style>
  <w:style w:type="paragraph" w:customStyle="1" w:styleId="TeksNormal">
    <w:name w:val="Teks Normal"/>
    <w:basedOn w:val="Normal"/>
    <w:qFormat/>
    <w:rsid w:val="007E5598"/>
    <w:pPr>
      <w:spacing w:after="0"/>
      <w:ind w:firstLine="245"/>
    </w:pPr>
    <w:rPr>
      <w:rFonts w:eastAsia="Times New Roman"/>
      <w:szCs w:val="20"/>
      <w:lang w:val="fi-FI"/>
    </w:rPr>
  </w:style>
  <w:style w:type="paragraph" w:styleId="NoSpacing">
    <w:name w:val="No Spacing"/>
    <w:link w:val="NoSpacingChar"/>
    <w:qFormat/>
    <w:rsid w:val="007E5598"/>
    <w:rPr>
      <w:color w:val="44546A"/>
    </w:rPr>
  </w:style>
  <w:style w:type="paragraph" w:customStyle="1" w:styleId="RESTITitle">
    <w:name w:val="RESTI_Title"/>
    <w:basedOn w:val="Normal"/>
    <w:next w:val="Normal"/>
    <w:qFormat/>
    <w:rsid w:val="007E5598"/>
    <w:pPr>
      <w:snapToGrid w:val="0"/>
      <w:spacing w:before="2560" w:after="0"/>
      <w:jc w:val="center"/>
    </w:pPr>
    <w:rPr>
      <w:rFonts w:eastAsia="SimSun"/>
      <w:sz w:val="36"/>
      <w:szCs w:val="24"/>
      <w:lang w:val="en-AU" w:eastAsia="zh-CN"/>
    </w:rPr>
  </w:style>
  <w:style w:type="paragraph" w:customStyle="1" w:styleId="RESTITitle0">
    <w:name w:val="RESTI Title"/>
    <w:basedOn w:val="Normal"/>
    <w:next w:val="Normal"/>
    <w:qFormat/>
    <w:rsid w:val="007E5598"/>
    <w:pPr>
      <w:snapToGrid w:val="0"/>
      <w:spacing w:before="2560" w:after="0"/>
      <w:jc w:val="center"/>
    </w:pPr>
    <w:rPr>
      <w:rFonts w:eastAsia="SimSun"/>
      <w:sz w:val="36"/>
      <w:szCs w:val="24"/>
      <w:lang w:val="en-AU" w:eastAsia="zh-CN"/>
    </w:rPr>
  </w:style>
  <w:style w:type="paragraph" w:customStyle="1" w:styleId="ISSN">
    <w:name w:val="ISSN"/>
    <w:basedOn w:val="Normal"/>
    <w:qFormat/>
    <w:rsid w:val="007E5598"/>
    <w:pPr>
      <w:spacing w:after="0"/>
      <w:jc w:val="right"/>
    </w:pPr>
    <w:rPr>
      <w:rFonts w:eastAsia="Times New Roman"/>
      <w:b/>
      <w:color w:val="000000"/>
      <w:sz w:val="24"/>
      <w:szCs w:val="16"/>
    </w:rPr>
  </w:style>
  <w:style w:type="paragraph" w:customStyle="1" w:styleId="Publisher">
    <w:name w:val="Publisher"/>
    <w:basedOn w:val="Normal"/>
    <w:qFormat/>
    <w:rsid w:val="007E5598"/>
    <w:pPr>
      <w:spacing w:before="120" w:after="0"/>
      <w:jc w:val="center"/>
    </w:pPr>
    <w:rPr>
      <w:rFonts w:ascii="Stencil" w:hAnsi="Stencil"/>
      <w:color w:val="0070C0"/>
      <w:spacing w:val="20"/>
      <w:sz w:val="44"/>
      <w:vertAlign w:val="superscript"/>
    </w:rPr>
  </w:style>
  <w:style w:type="paragraph" w:customStyle="1" w:styleId="normal1">
    <w:name w:val="normal1"/>
    <w:qFormat/>
    <w:rsid w:val="007E5598"/>
    <w:rPr>
      <w:rFonts w:ascii="Times New Roman" w:eastAsia="NSimSun" w:hAnsi="Times New Roman" w:cs="Lucida Sans"/>
      <w:lang w:eastAsia="zh-CN" w:bidi="hi-IN"/>
    </w:rPr>
  </w:style>
  <w:style w:type="paragraph" w:customStyle="1" w:styleId="TableContents">
    <w:name w:val="Table Contents"/>
    <w:basedOn w:val="Normal"/>
    <w:qFormat/>
    <w:rsid w:val="007E5598"/>
    <w:pPr>
      <w:widowControl w:val="0"/>
      <w:suppressLineNumbers/>
    </w:pPr>
  </w:style>
  <w:style w:type="paragraph" w:customStyle="1" w:styleId="TableHeading">
    <w:name w:val="Table Heading"/>
    <w:basedOn w:val="TableContents"/>
    <w:qFormat/>
    <w:rsid w:val="007E5598"/>
    <w:pPr>
      <w:jc w:val="center"/>
    </w:pPr>
    <w:rPr>
      <w:b/>
      <w:bCs/>
    </w:rPr>
  </w:style>
  <w:style w:type="paragraph" w:customStyle="1" w:styleId="tablecopy">
    <w:name w:val="table copy"/>
    <w:qFormat/>
    <w:rsid w:val="007E5598"/>
    <w:pPr>
      <w:jc w:val="both"/>
    </w:pPr>
    <w:rPr>
      <w:rFonts w:ascii="Times New Roman" w:eastAsia="SimSun" w:hAnsi="Times New Roman"/>
      <w:sz w:val="16"/>
      <w:szCs w:val="16"/>
    </w:rPr>
  </w:style>
  <w:style w:type="paragraph" w:customStyle="1" w:styleId="Bibliography1">
    <w:name w:val="Bibliography 1"/>
    <w:basedOn w:val="Index"/>
    <w:qFormat/>
    <w:rsid w:val="007E5598"/>
    <w:pPr>
      <w:tabs>
        <w:tab w:val="right" w:leader="dot" w:pos="9070"/>
      </w:tabs>
    </w:pPr>
  </w:style>
  <w:style w:type="paragraph" w:styleId="CommentText">
    <w:name w:val="annotation text"/>
    <w:basedOn w:val="Normal"/>
    <w:link w:val="CommentTextChar"/>
    <w:uiPriority w:val="99"/>
    <w:unhideWhenUsed/>
    <w:rsid w:val="00DD5F3A"/>
    <w:rPr>
      <w:szCs w:val="20"/>
    </w:rPr>
  </w:style>
  <w:style w:type="paragraph" w:styleId="CommentSubject">
    <w:name w:val="annotation subject"/>
    <w:basedOn w:val="CommentText"/>
    <w:next w:val="CommentText"/>
    <w:link w:val="CommentSubjectChar"/>
    <w:uiPriority w:val="99"/>
    <w:semiHidden/>
    <w:unhideWhenUsed/>
    <w:qFormat/>
    <w:rsid w:val="00DD5F3A"/>
    <w:rPr>
      <w:b/>
      <w:bCs/>
    </w:rPr>
  </w:style>
  <w:style w:type="paragraph" w:customStyle="1" w:styleId="Comment">
    <w:name w:val="Comment"/>
    <w:basedOn w:val="Normal"/>
    <w:qFormat/>
    <w:rsid w:val="007E5598"/>
    <w:pPr>
      <w:spacing w:before="56" w:after="0"/>
      <w:ind w:left="56" w:right="56"/>
    </w:pPr>
    <w:rPr>
      <w:szCs w:val="20"/>
    </w:rPr>
  </w:style>
  <w:style w:type="table" w:styleId="TableGrid">
    <w:name w:val="Table Grid"/>
    <w:basedOn w:val="TableNormal"/>
    <w:uiPriority w:val="59"/>
    <w:rsid w:val="000412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unhideWhenUsed/>
    <w:rsid w:val="00E8357E"/>
  </w:style>
  <w:style w:type="character" w:styleId="UnresolvedMention">
    <w:name w:val="Unresolved Mention"/>
    <w:basedOn w:val="DefaultParagraphFont"/>
    <w:uiPriority w:val="99"/>
    <w:semiHidden/>
    <w:unhideWhenUsed/>
    <w:rsid w:val="003A7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29207/resti.v9i3.6267"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www.iaii.or.id/"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13</Pages>
  <Words>8647</Words>
  <Characters>51279</Characters>
  <Application>Microsoft Office Word</Application>
  <DocSecurity>0</DocSecurity>
  <Lines>1424</Lines>
  <Paragraphs>440</Paragraphs>
  <ScaleCrop>false</ScaleCrop>
  <HeadingPairs>
    <vt:vector size="2" baseType="variant">
      <vt:variant>
        <vt:lpstr>Title</vt:lpstr>
      </vt:variant>
      <vt:variant>
        <vt:i4>1</vt:i4>
      </vt:variant>
    </vt:vector>
  </HeadingPairs>
  <TitlesOfParts>
    <vt:vector size="1" baseType="lpstr">
      <vt:lpstr>Template IAII : RSTI</vt:lpstr>
    </vt:vector>
  </TitlesOfParts>
  <Company>Home</Company>
  <LinksUpToDate>false</LinksUpToDate>
  <CharactersWithSpaces>59486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subject/>
  <dc:creator>Editor_RESTI</dc:creator>
  <cp:keywords>Jurnal Prosiding IAII</cp:keywords>
  <dc:description/>
  <cp:lastModifiedBy>Rita Komalasari</cp:lastModifiedBy>
  <cp:revision>9</cp:revision>
  <cp:lastPrinted>2025-06-18T04:50:00Z</cp:lastPrinted>
  <dcterms:created xsi:type="dcterms:W3CDTF">2025-06-12T13:46:00Z</dcterms:created>
  <dcterms:modified xsi:type="dcterms:W3CDTF">2025-06-18T04:51:00Z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d4d8b21805fbfe38e68aba6068a2825330397dd42a553eae26aa02b2d476347a</vt:lpwstr>
  </property>
  <property fmtid="{D5CDD505-2E9C-101B-9397-08002B2CF9AE}" pid="3" name="KSOProductBuildVer">
    <vt:lpwstr>1033-10.2.0.7549</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16th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ZOTERO_PREF_1">
    <vt:lpwstr>&lt;data data-version="3" zotero-version="7.0.15"&gt;&lt;session id="4IMECGl7"/&gt;&lt;style id="http://www.zotero.org/styles/ieee" locale="en-US" hasBibliography="1" bibliographyStyleHasBeenSet="1"/&gt;&lt;prefs&gt;&lt;pref name="fieldType" value="Bookmark"/&gt;&lt;/prefs&gt;&lt;/data&gt;</vt:lpwstr>
  </property>
  <property fmtid="{D5CDD505-2E9C-101B-9397-08002B2CF9AE}" pid="25" name="ZOTERO_BREF_NQAdXx9uvd7c_1">
    <vt:lpwstr>ZOTERO_TEMP</vt:lpwstr>
  </property>
  <property fmtid="{D5CDD505-2E9C-101B-9397-08002B2CF9AE}" pid="26" name="ZOTERO_BREF_PrI5OvUIBqj4_1">
    <vt:lpwstr>ZOTERO_ITEM CSL_CITATION {"citationID":"P6O34KZL","properties":{"formattedCitation":"[1], [2]","plainCitation":"[1], [2]","noteIndex":0},"citationItems":[{"id":1414,"uris":["http://zotero.org/users/9837378/items/6IAF4PNF"],"itemData":{"id":1414,"type":"ar</vt:lpwstr>
  </property>
  <property fmtid="{D5CDD505-2E9C-101B-9397-08002B2CF9AE}" pid="27" name="ZOTERO_BREF_PrI5OvUIBqj4_2">
    <vt:lpwstr>ticle-journal","abstract":"The world population is projected to be over 9 billion by the year 2050, which poses a major challenge in terms of food security. It is essential to develop and produce protein foods that are more efficient and sustainable than </vt:lpwstr>
  </property>
  <property fmtid="{D5CDD505-2E9C-101B-9397-08002B2CF9AE}" pid="28" name="ZOTERO_BREF_PrI5OvUIBqj4_3">
    <vt:lpwstr>animal protein to ensure future food security. Several options have been studied, including promising protein alternatives such as plant sources, insects, edible mushrooms, and algae. Due to their resource efficiency and nutritional value, these alternati</vt:lpwstr>
  </property>
  <property fmtid="{D5CDD505-2E9C-101B-9397-08002B2CF9AE}" pid="29" name="ZOTERO_BREF_PrI5OvUIBqj4_4">
    <vt:lpwstr>ves could contribute to feeding the next generation. This paper reviews different approaches to alternative proteins, describes each alternative and analyzes the protein composition, and highlights the potential that each alternative protein source must a</vt:lpwstr>
  </property>
  <property fmtid="{D5CDD505-2E9C-101B-9397-08002B2CF9AE}" pid="30" name="ZOTERO_BREF_PrI5OvUIBqj4_5">
    <vt:lpwstr>ddress the challenge of food security.","container-title":"Journal of Future Foods","DOI":"10.1016/j.jfutfo.2024.07.004","ISSN":"2772-5669","issue":"3","journalAbbreviation":"Journal of Future Foods","page":"248-256","source":"ScienceDirect","title":"Plan</vt:lpwstr>
  </property>
  <property fmtid="{D5CDD505-2E9C-101B-9397-08002B2CF9AE}" pid="31" name="ZOTERO_BREF_PrI5OvUIBqj4_6">
    <vt:lpwstr>t proteins, insects, edible mushrooms and algae: more sustainable alternatives to conventional animal protein","title-short":"Plant proteins, insects, edible mushrooms and algae","volume":"5","author":[{"family":"Pastrana-Pastrana","given":"Álvaro Javier"</vt:lpwstr>
  </property>
  <property fmtid="{D5CDD505-2E9C-101B-9397-08002B2CF9AE}" pid="32" name="ZOTERO_BREF_PrI5OvUIBqj4_7">
    <vt:lpwstr>},{"family":"Rodríguez-Herrera","given":"Raúl"},{"family":"Solanilla-Duque","given":"José Fernando"},{"family":"Flores-Gallegos","given":"Adriana Carolina"}],"issued":{"date-parts":[["2025",5,1]]}}},{"id":1383,"uris":["http://zotero.org/users/9837378/item</vt:lpwstr>
  </property>
  <property fmtid="{D5CDD505-2E9C-101B-9397-08002B2CF9AE}" pid="33" name="ZOTERO_BREF_PrI5OvUIBqj4_8">
    <vt:lpwstr>s/DU8M34HH"],"itemData":{"id":1383,"type":"article-journal","container-title":"Journal of Rural Studies","DOI":"10.1016/j.jrurstud.2022.09.006","ISSN":"0743-0167","journalAbbreviation":"Journal of Rural Studies","page":"326-335","source":"ScienceDirect","</vt:lpwstr>
  </property>
  <property fmtid="{D5CDD505-2E9C-101B-9397-08002B2CF9AE}" pid="34" name="ZOTERO_BREF_PrI5OvUIBqj4_9">
    <vt:lpwstr>title":"The future of small farms and small food businesses as actors in regional food security: A participatory scenario analysis from Europe and Africa","title-short":"The future of small farms and small food businesses as actors in regional food securi</vt:lpwstr>
  </property>
  <property fmtid="{D5CDD505-2E9C-101B-9397-08002B2CF9AE}" pid="35" name="ZOTERO_BREF_PrI5OvUIBqj4_10">
    <vt:lpwstr>ty","volume":"95","author":[{"family":"Ortiz-Miranda","given":"Dionisio"},{"family":"Moreno-Pérez","given":"Olga"},{"family":"Arnalte-Mur","given":"Laura"},{"family":"Cerrada-Serra","given":"Pedro"},{"family":"Martinez-Gomez","given":"Victor"},{"family":"</vt:lpwstr>
  </property>
  <property fmtid="{D5CDD505-2E9C-101B-9397-08002B2CF9AE}" pid="36" name="ZOTERO_BREF_PrI5OvUIBqj4_11">
    <vt:lpwstr>Adolph","given":"Barbara"},{"family":"Atela","given":"Joanes"},{"family":"Ayambila","given":"Sylvester"},{"family":"Baptista","given":"Isaurinda"},{"family":"Barbu","given":"Raluca"},{"family":"Bjørkhaug","given":"Hilde"},{"family":"Czekaj","given":"Marta</vt:lpwstr>
  </property>
  <property fmtid="{D5CDD505-2E9C-101B-9397-08002B2CF9AE}" pid="37" name="ZOTERO_BREF_PrI5OvUIBqj4_12">
    <vt:lpwstr>"},{"family":"Duckett","given":"Dominic"},{"family":"Fortes","given":"Arlindo"},{"family":"Galli","given":"Francesca"},{"family":"Goussios","given":"Giannis"},{"family":"Hernández","given":"Paola Andrea"},{"family":"Karanikolas","given":"Pavlos"},{"family</vt:lpwstr>
  </property>
  <property fmtid="{D5CDD505-2E9C-101B-9397-08002B2CF9AE}" pid="38" name="ZOTERO_BREF_PrI5OvUIBqj4_13">
    <vt:lpwstr>":"Machila","given":"Kennedy"},{"family":"Oikonomopoulou","given":"Elpiniki"},{"family":"Prosperi","given":"Paolo"},{"family":"Rivera","given":"María"},{"family":"Satoła","given":"Łukasz"},{"family":"Szafrańska","given":"Monika"},{"family":"Tisenkopfs","g</vt:lpwstr>
  </property>
  <property fmtid="{D5CDD505-2E9C-101B-9397-08002B2CF9AE}" pid="39" name="ZOTERO_BREF_PrI5OvUIBqj4_14">
    <vt:lpwstr>iven":"Talis"},{"family":"Tonui","given":"Charles"},{"family":"Yeboah","given":"Richard"}],"issued":{"date-parts":[["2022",10,1]]}}}],"schema":"https://github.com/citation-style-language/schema/raw/master/csl-citation.json"}</vt:lpwstr>
  </property>
  <property fmtid="{D5CDD505-2E9C-101B-9397-08002B2CF9AE}" pid="40" name="ZOTERO_BREF_62kqEruiTovK_1">
    <vt:lpwstr>ZOTERO_BIBL {"uncited":[],"omitted":[],"custom":[]} CSL_BIBLIOGRAPHY</vt:lpwstr>
  </property>
  <property fmtid="{D5CDD505-2E9C-101B-9397-08002B2CF9AE}" pid="41" name="ZOTERO_BREF_kVULlHU6lC0V_1">
    <vt:lpwstr>ZOTERO_ITEM CSL_CITATION {"citationID":"4eAIBPh7","properties":{"formattedCitation":"[3]","plainCitation":"[3]","noteIndex":0},"citationItems":[{"id":1420,"uris":["http://zotero.org/users/9837378/items/ED7ZLVE2"],"itemData":{"id":1420,"type":"book","abstr</vt:lpwstr>
  </property>
  <property fmtid="{D5CDD505-2E9C-101B-9397-08002B2CF9AE}" pid="42" name="ZOTERO_BREF_kVULlHU6lC0V_2">
    <vt:lpwstr>act":"In the face of global challenges such as climate change, population growth, and food security, understanding and optimizing crop nutrition has never been more critical. Crop Nutrition addresses these urgent issues by providing an in-depth exploratio</vt:lpwstr>
  </property>
  <property fmtid="{D5CDD505-2E9C-101B-9397-08002B2CF9AE}" pid="43" name="ZOTERO_BREF_kVULlHU6lC0V_3">
    <vt:lpwstr>n of how effective nutrient management can enhance soil health, boost food production, and contribute to the achievement of Sustainable Development Goals (SDGs). The book delves into key aspects of crop nutrition, covering the essentials of nutrient manag</vt:lpwstr>
  </property>
  <property fmtid="{D5CDD505-2E9C-101B-9397-08002B2CF9AE}" pid="44" name="ZOTERO_BREF_kVULlHU6lC0V_4">
    <vt:lpwstr>ement, the role of primary, secondary, and micronutrients, and innovative practices for sustainable agriculture. Each chapter provides comprehensive insights into various nutrients, their functions, and their impact on plant growth and soil health. The te</vt:lpwstr>
  </property>
  <property fmtid="{D5CDD505-2E9C-101B-9397-08002B2CF9AE}" pid="45" name="ZOTERO_BREF_kVULlHU6lC0V_5">
    <vt:lpwstr>xt also highlights case studies and success stories from different regions, showcasing practical applications and advancements in crop nutrition. Further, the book emphasizes the importance of integrated nutrient management approaches, such as the use of </vt:lpwstr>
  </property>
  <property fmtid="{D5CDD505-2E9C-101B-9397-08002B2CF9AE}" pid="46" name="ZOTERO_BREF_kVULlHU6lC0V_6">
    <vt:lpwstr>biofertilizers, nano-fertilizers, and organic amendments. Special attention is given to innovations from the Global South, demonstrating how developing countries are leading the way in sustainable agricultural practices. By integrating scientific research</vt:lpwstr>
  </property>
  <property fmtid="{D5CDD505-2E9C-101B-9397-08002B2CF9AE}" pid="47" name="ZOTERO_BREF_kVULlHU6lC0V_7">
    <vt:lpwstr>, practical strategies, and global success stories, this book serves as an essential resource for students, researchers, agronomists, policymakers, and agricultural practitioners. It provides the knowledge and tools needed to enhance crop productivity, im</vt:lpwstr>
  </property>
  <property fmtid="{D5CDD505-2E9C-101B-9397-08002B2CF9AE}" pid="48" name="ZOTERO_BREF_kVULlHU6lC0V_8">
    <vt:lpwstr>prove soil health, and ensure sustainable food systems. It not only addresses current agricultural challenges but also paves the way for a resilient and food-secure future, making it a valuable asset for anyone involved in the field of agriculture. © 2025</vt:lpwstr>
  </property>
  <property fmtid="{D5CDD505-2E9C-101B-9397-08002B2CF9AE}" pid="49" name="ZOTERO_BREF_kVULlHU6lC0V_9">
    <vt:lpwstr> Walter de Gruyter GmbH, Berlin/Boston. All rights reserved.","archive":"Scopus","collection-title":"Crop Nutrition: Enhancing Healthy Soils, Food Security, Environmental Sustainability and Advancing SDGs","note":"page: 690\nDOI: 10.1515/9783111617671","n</vt:lpwstr>
  </property>
  <property fmtid="{D5CDD505-2E9C-101B-9397-08002B2CF9AE}" pid="50" name="ZOTERO_BREF_kVULlHU6lC0V_10">
    <vt:lpwstr>umber-of-pages":"1","source":"Scopus","title":"Crop nutrition: Enhancing healthy soils, food security, environmental sustainability and advancing SDGs","title-short":"Crop nutrition","author":[{"literal":"Amanullah"}],"issued":{"date-parts":[["2024"]]}}}]</vt:lpwstr>
  </property>
  <property fmtid="{D5CDD505-2E9C-101B-9397-08002B2CF9AE}" pid="51" name="ZOTERO_BREF_kVULlHU6lC0V_11">
    <vt:lpwstr>,"schema":"https://github.com/citation-style-language/schema/raw/master/csl-citation.json"}</vt:lpwstr>
  </property>
  <property fmtid="{D5CDD505-2E9C-101B-9397-08002B2CF9AE}" pid="52" name="ZOTERO_BREF_iExrsjA00S4d_1">
    <vt:lpwstr>ZOTERO_ITEM CSL_CITATION {"citationID":"gul31aiR","properties":{"formattedCitation":"[4]","plainCitation":"[4]","noteIndex":0},"citationItems":[{"id":1424,"uris":["http://zotero.org/users/9837378/items/65Y5ZYMS"],"itemData":{"id":1424,"type":"webpage","la</vt:lpwstr>
  </property>
  <property fmtid="{D5CDD505-2E9C-101B-9397-08002B2CF9AE}" pid="53" name="ZOTERO_BREF_iExrsjA00S4d_2">
    <vt:lpwstr>nguage":"en","note":"DOI: 10.1177/20503121241254231","title":"Planetary health and its relevance in the modern era: A topical review","title-short":"Planetary health and its relevance in the modern era","URL":"https://journals.sagepub.com/doi/epub/10.1177</vt:lpwstr>
  </property>
  <property fmtid="{D5CDD505-2E9C-101B-9397-08002B2CF9AE}" pid="54" name="ZOTERO_BREF_iExrsjA00S4d_3">
    <vt:lpwstr>/20503121241254231","accessed":{"date-parts":[["2024",12,29]]}}}],"schema":"https://github.com/citation-style-language/schema/raw/master/csl-citation.json"}</vt:lpwstr>
  </property>
  <property fmtid="{D5CDD505-2E9C-101B-9397-08002B2CF9AE}" pid="55" name="ZOTERO_BREF_4G8jaYFm4V5R_1">
    <vt:lpwstr>ZOTERO_ITEM CSL_CITATION {"citationID":"GYYbqfyt","properties":{"formattedCitation":"[5]","plainCitation":"[5]","noteIndex":0},"citationItems":[{"id":1427,"uris":["http://zotero.org/users/9837378/items/T7NXX9ZQ"],"itemData":{"id":1427,"type":"article-jour</vt:lpwstr>
  </property>
  <property fmtid="{D5CDD505-2E9C-101B-9397-08002B2CF9AE}" pid="56" name="ZOTERO_BREF_4G8jaYFm4V5R_2">
    <vt:lpwstr>nal","abstract":"Podophyllotoxin (PPT) is an aryltetralin lignan incipiently found in the rhizomes of Sinopodophyllum hexandrum and Podophyllum peltatum. To broaden the industrial use of tribe Podophylleae, the distribution, taxonomy, phylogeny, phytochem</vt:lpwstr>
  </property>
  <property fmtid="{D5CDD505-2E9C-101B-9397-08002B2CF9AE}" pid="57" name="ZOTERO_BREF_4G8jaYFm4V5R_3">
    <vt:lpwstr>istry, pharmacology, and artificial cultivation were summarized. Currently, there are four genera (i.e., Podophyllum, Sinopodophyllum, Diphylleia, and Dysosma) with 13 species (i.e., Podophyllum peltatum, S. hexandrum, Diphylleia cymosa, D. sinensis, D. g</vt:lpwstr>
  </property>
  <property fmtid="{D5CDD505-2E9C-101B-9397-08002B2CF9AE}" pid="58" name="ZOTERO_BREF_4G8jaYFm4V5R_4">
    <vt:lpwstr>rayi, Dysosma aurantiocaulis, D. delavayi, D. difformis, D. majoensis, D. pleiantha, D. tsayuensis, D. versipellis, and D. villosa) in the tribe Podophylleae. The key to the genera of the 13 species was renewed based on their morphological characteristics</vt:lpwstr>
  </property>
  <property fmtid="{D5CDD505-2E9C-101B-9397-08002B2CF9AE}" pid="59" name="ZOTERO_BREF_4G8jaYFm4V5R_5">
    <vt:lpwstr>. The phylogeny was constructed according to the chloroplast genomes. There are ca. 43 chemical constituents including: 26 lignans, 9 flavonoids, and other 8 constituents identified from the 12 species (except for the D. villosa). Meanwhile, there is a si</vt:lpwstr>
  </property>
  <property fmtid="{D5CDD505-2E9C-101B-9397-08002B2CF9AE}" pid="60" name="ZOTERO_BREF_4G8jaYFm4V5R_6">
    <vt:lpwstr>gnificant variation in PPT content with a highest level (ca. 11 %) in the S. hexandrum, followed by D. tsayuensis (ca. 1.5 %) and D. grayi (ca. 1.3 %). The PPT and its derivatives are mainly used for chemotherapy agents of cancers. Presently, a large-scal</vt:lpwstr>
  </property>
  <property fmtid="{D5CDD505-2E9C-101B-9397-08002B2CF9AE}" pid="61" name="ZOTERO_BREF_4G8jaYFm4V5R_7">
    <vt:lpwstr>e bionic wild cultivation of S. hexandrum has been achieved following good agricultural practices (GAP), and artificial cultivation of D. versipellis has been established using sunshading-net coverage, while the attemptation of other 11 species is on the </vt:lpwstr>
  </property>
  <property fmtid="{D5CDD505-2E9C-101B-9397-08002B2CF9AE}" pid="62" name="ZOTERO_BREF_4G8jaYFm4V5R_8">
    <vt:lpwstr>way. To date, S. hexandrum is the preferred species for the PPT production, and D. versipellis would be the alternative plant materials. Additionally, it is necessary and urgent to find out sustainable approaches to protect the tribe Podophylleae, such as</vt:lpwstr>
  </property>
  <property fmtid="{D5CDD505-2E9C-101B-9397-08002B2CF9AE}" pid="63" name="ZOTERO_BREF_4G8jaYFm4V5R_9">
    <vt:lpwstr> rapid propagation, ecological planting, and rational harvest. This review will provide useful references for the reasonable exploration and utilization of tribe Podophylleae for PPT production.","container-title":"Industrial Crops and Products","DOI":"10</vt:lpwstr>
  </property>
  <property fmtid="{D5CDD505-2E9C-101B-9397-08002B2CF9AE}" pid="64" name="ZOTERO_BREF_4G8jaYFm4V5R_10">
    <vt:lpwstr>.1016/j.indcrop.2024.119862","ISSN":"0926-6690","journalAbbreviation":"Industrial Crops and Products","page":"119862","source":"ScienceDirect","title":"Distribution, taxonomy, phylogeny, phytochemistry, pharmacology, and artificial cultivation of tribe Po</vt:lpwstr>
  </property>
  <property fmtid="{D5CDD505-2E9C-101B-9397-08002B2CF9AE}" pid="65" name="ZOTERO_BREF_4G8jaYFm4V5R_11">
    <vt:lpwstr>dophylleae for podophyllotoxin production","volume":"222","author":[{"family":"Su","given":"Fan"},{"family":"Wang","given":"Mianshen"},{"family":"Sun","given":"Jiarui"},{"family":"Wang","given":"Jiaming"},{"family":"Han","given":"Jiangyuan"},{"family":"Li</vt:lpwstr>
  </property>
  <property fmtid="{D5CDD505-2E9C-101B-9397-08002B2CF9AE}" pid="66" name="ZOTERO_BREF_4G8jaYFm4V5R_12">
    <vt:lpwstr>","given":"Mengfei"},{"family":"Paré","given":"Paul W."}],"issued":{"date-parts":[["2024",12,15]]}}}],"schema":"https://github.com/citation-style-language/schema/raw/master/csl-citation.json"}</vt:lpwstr>
  </property>
  <property fmtid="{D5CDD505-2E9C-101B-9397-08002B2CF9AE}" pid="67" name="ZOTERO_BREF_PcRuXtIGG3qx_1">
    <vt:lpwstr>ZOTERO_ITEM CSL_CITATION {"citationID":"cN1d5bDk","properties":{"formattedCitation":"[6], [7], [8]","plainCitation":"[6], [7], [8]","noteIndex":0},"citationItems":[{"id":1439,"uris":["http://zotero.org/users/9837378/items/RIA3Q3JT"],"itemData":{"id":1439,</vt:lpwstr>
  </property>
  <property fmtid="{D5CDD505-2E9C-101B-9397-08002B2CF9AE}" pid="68" name="ZOTERO_BREF_PcRuXtIGG3qx_2">
    <vt:lpwstr>"type":"article-journal","abstract":"Good agricultural practices (CGAPs) respond mainly to the need of protecting biodiversity, genetic resources and landscape, soil and water resources, as well as the provision of public goods by farmers. Biodiversity co</vt:lpwstr>
  </property>
  <property fmtid="{D5CDD505-2E9C-101B-9397-08002B2CF9AE}" pid="69" name="ZOTERO_BREF_PcRuXtIGG3qx_3">
    <vt:lpwstr>nservation is inextricably linked to agricultural activity. Cyprus, due to the variety of landscapes with special microclimatic and topographic characteristics, the variety of soil and geological substrates and the diversity of vegetation, forest and agri</vt:lpwstr>
  </property>
  <property fmtid="{D5CDD505-2E9C-101B-9397-08002B2CF9AE}" pid="70" name="ZOTERO_BREF_PcRuXtIGG3qx_4">
    <vt:lpwstr>culture, contributes to the creation of a wonderful variety of habitats that meet the requirements of numerous species of wildlife. In this highly competitive environment, agricultural consultants can and do play an important role in disseminating knowled</vt:lpwstr>
  </property>
  <property fmtid="{D5CDD505-2E9C-101B-9397-08002B2CF9AE}" pid="71" name="ZOTERO_BREF_PcRuXtIGG3qx_5">
    <vt:lpwstr>ge regarding the adoption of information and communication technologies as well as precision agriculture. Those technologies apply to any type of agricultural holding and can be an integral part regarding the wider application of good agricultural practic</vt:lpwstr>
  </property>
  <property fmtid="{D5CDD505-2E9C-101B-9397-08002B2CF9AE}" pid="72" name="ZOTERO_BREF_PcRuXtIGG3qx_6">
    <vt:lpwstr>es by the farmers. Copyright © 2022 Inderscience Enterprises Ltd.","archive":"Scopus","container-title":"International Journal of Sustainable Agricultural Management and Informatics","DOI":"10.1504/IJSAMI.2022.124577","issue":"2","page":"144-155","source"</vt:lpwstr>
  </property>
  <property fmtid="{D5CDD505-2E9C-101B-9397-08002B2CF9AE}" pid="73" name="ZOTERO_BREF_PcRuXtIGG3qx_7">
    <vt:lpwstr>:"Scopus","title":"The role of agricultural consultants and precision agriculture in the adoption of good agricultural practices and sustainable water management","volume":"8","author":[{"family":"Kountios","given":"G."}],"issued":{"date-parts":[["2022"]]</vt:lpwstr>
  </property>
  <property fmtid="{D5CDD505-2E9C-101B-9397-08002B2CF9AE}" pid="74" name="ZOTERO_BREF_PcRuXtIGG3qx_8">
    <vt:lpwstr>}}},{"id":1442,"uris":["http://zotero.org/users/9837378/items/HWDVRKHA"],"itemData":{"id":1442,"type":"chapter","abstract":"This chapter introduces to sustainable agriculture (SA), which is seen as a necessary way to feed and maintain/improve the quality </vt:lpwstr>
  </property>
  <property fmtid="{D5CDD505-2E9C-101B-9397-08002B2CF9AE}" pid="75" name="ZOTERO_BREF_PcRuXtIGG3qx_9">
    <vt:lpwstr>of life of a growing world population without exacerbating environmental degradation. It starts by recalling the general importance of agriculture and showing the diversity and heterogeneity of agriculture forms around the world along with their dispariti</vt:lpwstr>
  </property>
  <property fmtid="{D5CDD505-2E9C-101B-9397-08002B2CF9AE}" pid="76" name="ZOTERO_BREF_PcRuXtIGG3qx_10">
    <vt:lpwstr>es and problems faced. It then underlines the core of SA, and demonstrates several possible pathways toward SA, including organic farming, integrated farming, ecological and sustainable intensification, conservation, climate-smart and precision agricultur</vt:lpwstr>
  </property>
  <property fmtid="{D5CDD505-2E9C-101B-9397-08002B2CF9AE}" pid="77" name="ZOTERO_BREF_PcRuXtIGG3qx_11">
    <vt:lpwstr>e, permaculture and vertical farming. By the end of the chapter, the challenges for the main actors involved in building sustainability of agriculture, that is, science, education, policy-makers, and farmers, were summarized. © 2022 Elsevier Ltd All right</vt:lpwstr>
  </property>
  <property fmtid="{D5CDD505-2E9C-101B-9397-08002B2CF9AE}" pid="78" name="ZOTERO_BREF_PcRuXtIGG3qx_12">
    <vt:lpwstr>s reserved.","archive":"Scopus","container-title":"Smart Agrochemicals for Sustainable Agriculture","note":"DOI: 10.1016/B978-0-12-817036-6.00002-9","page":"29-56","source":"Scopus","title":"Sustainable agriculture: A challenge for the future","title-shor</vt:lpwstr>
  </property>
  <property fmtid="{D5CDD505-2E9C-101B-9397-08002B2CF9AE}" pid="79" name="ZOTERO_BREF_PcRuXtIGG3qx_13">
    <vt:lpwstr>t":"Sustainable agriculture","author":[{"family":"Jastrzębska","given":"M."},{"family":"Kostrzewska","given":"M."},{"family":"Saeid","given":"A."}],"issued":{"date-parts":[["2021"]]}}},{"id":1448,"uris":["http://zotero.org/users/9837378/items/XM7P8SER"],"</vt:lpwstr>
  </property>
  <property fmtid="{D5CDD505-2E9C-101B-9397-08002B2CF9AE}" pid="80" name="ZOTERO_BREF_PcRuXtIGG3qx_14">
    <vt:lpwstr>itemData":{"id":1448,"type":"paper-conference","abstract":"In the last decades the reduction of protectionist regulations through international trade agreements has led to a globalization of the food market. Although this has promoted the availability for</vt:lpwstr>
  </property>
  <property fmtid="{D5CDD505-2E9C-101B-9397-08002B2CF9AE}" pid="81" name="ZOTERO_BREF_PcRuXtIGG3qx_15">
    <vt:lpwstr> the consumer of a wider variety of food products at lower prices, governments, retailers and consumers around the globe are becoming more and more concerned about the safety and quality of their food products. As food is produced on a global scale, natio</vt:lpwstr>
  </property>
  <property fmtid="{D5CDD505-2E9C-101B-9397-08002B2CF9AE}" pid="82" name="ZOTERO_BREF_PcRuXtIGG3qx_16">
    <vt:lpwstr>nal governments and consumers have lost control over the production methods. Therefore, traceability and verification of good agricultural practices (GAP) is becoming very important. Apart from food safety and quality, this also involves considerations in</vt:lpwstr>
  </property>
  <property fmtid="{D5CDD505-2E9C-101B-9397-08002B2CF9AE}" pid="83" name="ZOTERO_BREF_PcRuXtIGG3qx_17">
    <vt:lpwstr> the environmental impact and sustainability of the production and transport of the available food products. Precision agriculture and the technologies developed for it, including automation and robots, have high potential for reducing the environmental i</vt:lpwstr>
  </property>
  <property fmtid="{D5CDD505-2E9C-101B-9397-08002B2CF9AE}" pid="84" name="ZOTERO_BREF_PcRuXtIGG3qx_18">
    <vt:lpwstr>mpact of production and for providing the necessary information for verifying the origin and compliance with GAP criteria. Apart from providing governments, retailers and consumers with the information needed to assure food quality and safety, precision a</vt:lpwstr>
  </property>
  <property fmtid="{D5CDD505-2E9C-101B-9397-08002B2CF9AE}" pid="85" name="ZOTERO_BREF_PcRuXtIGG3qx_19">
    <vt:lpwstr>griculture technologies can also help producers to meet the GAP criteria and relief them from the administrative load related to proving compliance. In this paper, some novel developments in agricultural automation and their potential for food safety assu</vt:lpwstr>
  </property>
  <property fmtid="{D5CDD505-2E9C-101B-9397-08002B2CF9AE}" pid="86" name="ZOTERO_BREF_PcRuXtIGG3qx_20">
    <vt:lpwstr>rance are discussed. © 2013 Czech University of Life Sciences Prague.","archive":"Scopus","event-title":"Conference Proceeding - 5th International Conference, TAE 2013: Trends in Agricultural Engineering 2013","page":"19-24","source":"Scopus","title":"Pre</vt:lpwstr>
  </property>
  <property fmtid="{D5CDD505-2E9C-101B-9397-08002B2CF9AE}" pid="87" name="ZOTERO_BREF_PcRuXtIGG3qx_21">
    <vt:lpwstr>cision agriculture technology for sustainable good agricultural practice","author":[{"family":"Saeys","given":"W."},{"family":"De Baerdemaeker","given":"J."}],"issued":{"date-parts":[["2013"]]}}}],"schema":"https://github.com/citation-style-language/schem</vt:lpwstr>
  </property>
  <property fmtid="{D5CDD505-2E9C-101B-9397-08002B2CF9AE}" pid="88" name="ZOTERO_BREF_PcRuXtIGG3qx_22">
    <vt:lpwstr>a/raw/master/csl-citation.json"}</vt:lpwstr>
  </property>
  <property fmtid="{D5CDD505-2E9C-101B-9397-08002B2CF9AE}" pid="89" name="ZOTERO_BREF_Sm48nZJUS3rj_1">
    <vt:lpwstr>ZOTERO_ITEM CSL_CITATION {"citationID":"rmKyOzq8","properties":{"formattedCitation":"[9]","plainCitation":"[9]","noteIndex":0},"citationItems":[{"id":1445,"uris":["http://zotero.org/users/9837378/items/8KHIXTWI"],"itemData":{"id":1445,"type":"chapter","ab</vt:lpwstr>
  </property>
  <property fmtid="{D5CDD505-2E9C-101B-9397-08002B2CF9AE}" pid="90" name="ZOTERO_BREF_Sm48nZJUS3rj_2">
    <vt:lpwstr>stract":"Agricultural production is part of a long chain of activities that starts from seeding and stretches all the way to the consumer. It should meet consumer expectations in terms of quality, safety, and also value or price. Many intermediate steps a</vt:lpwstr>
  </property>
  <property fmtid="{D5CDD505-2E9C-101B-9397-08002B2CF9AE}" pid="91" name="ZOTERO_BREF_Sm48nZJUS3rj_3">
    <vt:lpwstr>re involved and these often involve handling, storage, and transportation across national borders or continents. Precision agriculture (PA) technologies share the underlying ideas of good agricultural practices (GAP) and may become important tools for com</vt:lpwstr>
  </property>
  <property fmtid="{D5CDD505-2E9C-101B-9397-08002B2CF9AE}" pid="92" name="ZOTERO_BREF_Sm48nZJUS3rj_4">
    <vt:lpwstr>plying with regulations and for documentation of the production conditions as a proof of compliance. Precision farming and the use of global positioning systems (GPS) on agricultural machinery provide location and time information for all treatments. GAP </vt:lpwstr>
  </property>
  <property fmtid="{D5CDD505-2E9C-101B-9397-08002B2CF9AE}" pid="93" name="ZOTERO_BREF_Sm48nZJUS3rj_5">
    <vt:lpwstr>reduces the incidence and intensity of pests and diseases, and also the use of chemical control methods. GAP implies that the correct dose of fertilizer is applied at the correct moment and in the correct way. © 2016 by Taylor &amp; Francis Group, LLC.","arch</vt:lpwstr>
  </property>
  <property fmtid="{D5CDD505-2E9C-101B-9397-08002B2CF9AE}" pid="94" name="ZOTERO_BREF_Sm48nZJUS3rj_6">
    <vt:lpwstr>ive":"Scopus","container-title":"Precision Agriculture Technology for Crop Farming","note":"DOI: 10.1201/b19336-9","page":"279-298","source":"Scopus","title":"Good Agricultural Practices, Quality, Traceability, and Precision Agriculture","author":[{"famil</vt:lpwstr>
  </property>
  <property fmtid="{D5CDD505-2E9C-101B-9397-08002B2CF9AE}" pid="95" name="ZOTERO_BREF_Sm48nZJUS3rj_7">
    <vt:lpwstr>y":"Baerdemaeker","given":"J.D."},{"family":"Saeys","given":"W."}],"issued":{"date-parts":[["2015"]]}}}],"schema":"https://github.com/citation-style-language/schema/raw/master/csl-citation.json"}</vt:lpwstr>
  </property>
  <property fmtid="{D5CDD505-2E9C-101B-9397-08002B2CF9AE}" pid="96" name="ZOTERO_BREF_6HWu1rsXS4yL_1">
    <vt:lpwstr>ZOTERO_ITEM CSL_CITATION {"citationID":"vQrN4IKk","properties":{"formattedCitation":"[2], [10]","plainCitation":"[2], [10]","noteIndex":0},"citationItems":[{"id":1383,"uris":["http://zotero.org/users/9837378/items/DU8M34HH"],"itemData":{"id":1383,"type":"</vt:lpwstr>
  </property>
  <property fmtid="{D5CDD505-2E9C-101B-9397-08002B2CF9AE}" pid="97" name="ZOTERO_BREF_6HWu1rsXS4yL_2">
    <vt:lpwstr>article-journal","container-title":"Journal of Rural Studies","DOI":"10.1016/j.jrurstud.2022.09.006","ISSN":"0743-0167","journalAbbreviation":"Journal of Rural Studies","page":"326-335","source":"ScienceDirect","title":"The future of small farms and small</vt:lpwstr>
  </property>
  <property fmtid="{D5CDD505-2E9C-101B-9397-08002B2CF9AE}" pid="98" name="ZOTERO_BREF_6HWu1rsXS4yL_3">
    <vt:lpwstr> food businesses as actors in regional food security: A participatory scenario analysis from Europe and Africa","title-short":"The future of small farms and small food businesses as actors in regional food security","volume":"95","author":[{"family":"Orti</vt:lpwstr>
  </property>
  <property fmtid="{D5CDD505-2E9C-101B-9397-08002B2CF9AE}" pid="99" name="ZOTERO_BREF_6HWu1rsXS4yL_4">
    <vt:lpwstr>z-Miranda","given":"Dionisio"},{"family":"Moreno-Pérez","given":"Olga"},{"family":"Arnalte-Mur","given":"Laura"},{"family":"Cerrada-Serra","given":"Pedro"},{"family":"Martinez-Gomez","given":"Victor"},{"family":"Adolph","given":"Barbara"},{"family":"Atela</vt:lpwstr>
  </property>
  <property fmtid="{D5CDD505-2E9C-101B-9397-08002B2CF9AE}" pid="100" name="ZOTERO_BREF_6HWu1rsXS4yL_5">
    <vt:lpwstr>","given":"Joanes"},{"family":"Ayambila","given":"Sylvester"},{"family":"Baptista","given":"Isaurinda"},{"family":"Barbu","given":"Raluca"},{"family":"Bjørkhaug","given":"Hilde"},{"family":"Czekaj","given":"Marta"},{"family":"Duckett","given":"Dominic"},{</vt:lpwstr>
  </property>
  <property fmtid="{D5CDD505-2E9C-101B-9397-08002B2CF9AE}" pid="101" name="ZOTERO_BREF_6HWu1rsXS4yL_6">
    <vt:lpwstr>"family":"Fortes","given":"Arlindo"},{"family":"Galli","given":"Francesca"},{"family":"Goussios","given":"Giannis"},{"family":"Hernández","given":"Paola Andrea"},{"family":"Karanikolas","given":"Pavlos"},{"family":"Machila","given":"Kennedy"},{"family":"O</vt:lpwstr>
  </property>
  <property fmtid="{D5CDD505-2E9C-101B-9397-08002B2CF9AE}" pid="102" name="ZOTERO_BREF_6HWu1rsXS4yL_7">
    <vt:lpwstr>ikonomopoulou","given":"Elpiniki"},{"family":"Prosperi","given":"Paolo"},{"family":"Rivera","given":"María"},{"family":"Satoła","given":"Łukasz"},{"family":"Szafrańska","given":"Monika"},{"family":"Tisenkopfs","given":"Talis"},{"family":"Tonui","given":"C</vt:lpwstr>
  </property>
  <property fmtid="{D5CDD505-2E9C-101B-9397-08002B2CF9AE}" pid="103" name="ZOTERO_BREF_6HWu1rsXS4yL_8">
    <vt:lpwstr>harles"},{"family":"Yeboah","given":"Richard"}],"issued":{"date-parts":[["2022",10,1]]}}},{"id":1453,"uris":["http://zotero.org/users/9837378/items/2XH8IL6H"],"itemData":{"id":1453,"type":"article-journal","abstract":"This paper presents a brief overview </vt:lpwstr>
  </property>
  <property fmtid="{D5CDD505-2E9C-101B-9397-08002B2CF9AE}" pid="104" name="ZOTERO_BREF_6HWu1rsXS4yL_9">
    <vt:lpwstr>of the automation and IoT (Internet of Things) used to enhance good agricultural practices. Robotics can be efficiently used in food safety and makes it environment-friendly by using the appropriate use of chemicals. Robotics is also helpful in testing la</vt:lpwstr>
  </property>
  <property fmtid="{D5CDD505-2E9C-101B-9397-08002B2CF9AE}" pid="105" name="ZOTERO_BREF_6HWu1rsXS4yL_10">
    <vt:lpwstr>nd quality and to choose the appropriate crop for the land. The robotic weed control system is highly beneficial. Development of reconfigurable robot is very important because in the future agricultural land decreases and multitasking robots are required </vt:lpwstr>
  </property>
  <property fmtid="{D5CDD505-2E9C-101B-9397-08002B2CF9AE}" pid="106" name="ZOTERO_BREF_6HWu1rsXS4yL_11">
    <vt:lpwstr>to make it fast and maintain quality, present robots are single task targeted robots. The smart farming also helps to maintain the humidity, temperature and irrigation process. The main aim of this study to making agriculture smart and efficient by applyi</vt:lpwstr>
  </property>
  <property fmtid="{D5CDD505-2E9C-101B-9397-08002B2CF9AE}" pid="107" name="ZOTERO_BREF_6HWu1rsXS4yL_12">
    <vt:lpwstr>ng automation and IoT techniques. © BEIESP.","archive":"Scopus","container-title":"International Journal of Recent Technology and Engineering","DOI":"10.35940/ijrte.B1153.0782S319","issue":"2 Special Issue 3","page":"820-823","source":"Scopus","title":"Re</vt:lpwstr>
  </property>
  <property fmtid="{D5CDD505-2E9C-101B-9397-08002B2CF9AE}" pid="108" name="ZOTERO_BREF_6HWu1rsXS4yL_13">
    <vt:lpwstr>cent development of automation and IoT in agriculture","volume":"8","author":[{"family":"Kashyap","given":"C."},{"family":"Kashyap","given":"B.Y."},{"family":"Guruprasad","given":"K."},{"family":"Shrinivasa","given":"D."},{"family":"Shrivastava","given":"</vt:lpwstr>
  </property>
  <property fmtid="{D5CDD505-2E9C-101B-9397-08002B2CF9AE}" pid="109" name="ZOTERO_BREF_6HWu1rsXS4yL_14">
    <vt:lpwstr>P.K."}],"issued":{"date-parts":[["2019"]]}}}],"schema":"https://github.com/citation-style-language/schema/raw/master/csl-citation.json"}</vt:lpwstr>
  </property>
  <property fmtid="{D5CDD505-2E9C-101B-9397-08002B2CF9AE}" pid="110" name="ZOTERO_BREF_iNE2SUWSRPGi_1">
    <vt:lpwstr>ZOTERO_ITEM CSL_CITATION {"citationID":"bT5WQJdg","properties":{"formattedCitation":"[11]","plainCitation":"[11]","noteIndex":0},"citationItems":[{"id":1438,"uris":["http://zotero.org/users/9837378/items/2HH65K99"],"itemData":{"id":1438,"type":"article-jo</vt:lpwstr>
  </property>
  <property fmtid="{D5CDD505-2E9C-101B-9397-08002B2CF9AE}" pid="111" name="ZOTERO_BREF_iNE2SUWSRPGi_2">
    <vt:lpwstr>urnal","abstract":"Maize is consumed world-wide as staple food, livestock feed, and industrial raw material. However, it is susceptible to fungal attack and at risk of aflatoxin contamination under certain conditions. Such contamination is a serious threa</vt:lpwstr>
  </property>
  <property fmtid="{D5CDD505-2E9C-101B-9397-08002B2CF9AE}" pid="112" name="ZOTERO_BREF_iNE2SUWSRPGi_3">
    <vt:lpwstr>t to human and animal health. Ensuring that the maize used by food industry meets standards for aflatoxin levels requires significant investment across the supply chain. Good Agricultural Practices (GAP) form a critical part of a broader, integrated strat</vt:lpwstr>
  </property>
  <property fmtid="{D5CDD505-2E9C-101B-9397-08002B2CF9AE}" pid="113" name="ZOTERO_BREF_iNE2SUWSRPGi_4">
    <vt:lpwstr>egy for reduction of aflatoxin contamination. We reviewed and summarised the GAP of maize that would be effective and practicable for aflatoxin control within high-risk regions for smallholder farmers. The suggested practicable GAP for smallholder farmers</vt:lpwstr>
  </property>
  <property fmtid="{D5CDD505-2E9C-101B-9397-08002B2CF9AE}" pid="114" name="ZOTERO_BREF_iNE2SUWSRPGi_5">
    <vt:lpwstr> were: use of drought-tolerant varieties; timely harvesting before physiological maturity; sorting to remove damaged ears and those having poor husk covering; drying properly to 13% moisture content; storage in suitable conditions to keep the crop clean a</vt:lpwstr>
  </property>
  <property fmtid="{D5CDD505-2E9C-101B-9397-08002B2CF9AE}" pid="115" name="ZOTERO_BREF_iNE2SUWSRPGi_6">
    <vt:lpwstr>nd under condition with minimally proper aeration, or ideally under hermetic conditions. This information is intended to provide guidance for maize growers that will help reduce aflatoxin in high-risk regions, with a specific focus on smallholder farmers.</vt:lpwstr>
  </property>
  <property fmtid="{D5CDD505-2E9C-101B-9397-08002B2CF9AE}" pid="116" name="ZOTERO_BREF_iNE2SUWSRPGi_7">
    <vt:lpwstr> Following the proposed guidelines would contribute to the reduction of aflatoxin contamination during pre-harvest, harvest, and post-harvest stages of the maize value chain.","container-title":"World Mycotoxin Journal","DOI":"10.3920/WMJ2021.2685","ISSN"</vt:lpwstr>
  </property>
  <property fmtid="{D5CDD505-2E9C-101B-9397-08002B2CF9AE}" pid="117" name="ZOTERO_BREF_iNE2SUWSRPGi_8">
    <vt:lpwstr>:"1875-0710, 1875-0796","issue":"2","journalAbbreviation":"WMJ","language":"en","license":"https://creativecommons.org/licenses/by/4.0","page":"171-186","source":"DOI.org (Crossref)","title":"Review of good agricultural practices for smallholder maize far</vt:lpwstr>
  </property>
  <property fmtid="{D5CDD505-2E9C-101B-9397-08002B2CF9AE}" pid="118" name="ZOTERO_BREF_iNE2SUWSRPGi_9">
    <vt:lpwstr>mers to minimise aflatoxin contamination","volume":"15","author":[{"family":"Xu","given":"F."},{"family":"Baker","given":"R.C."},{"family":"Whitaker","given":"T.B."},{"family":"Luo","given":"H."},{"family":"Zhao","given":"Y."},{"family":"Stevenson","given</vt:lpwstr>
  </property>
  <property fmtid="{D5CDD505-2E9C-101B-9397-08002B2CF9AE}" pid="119" name="ZOTERO_BREF_iNE2SUWSRPGi_10">
    <vt:lpwstr>":"A."},{"family":"Boesch","given":"C.J."},{"family":"Zhang","given":"G."}],"issued":{"date-parts":[["2022",4,7]]}}}],"schema":"https://github.com/citation-style-language/schema/raw/master/csl-citation.json"}</vt:lpwstr>
  </property>
  <property fmtid="{D5CDD505-2E9C-101B-9397-08002B2CF9AE}" pid="120" name="ZOTERO_BREF_o6bD2SBm7XOZ_1">
    <vt:lpwstr>ZOTERO_ITEM CSL_CITATION {"citationID":"OYgfBOGv","properties":{"formattedCitation":"[2]","plainCitation":"[2]","noteIndex":0},"citationItems":[{"id":1383,"uris":["http://zotero.org/users/9837378/items/DU8M34HH"],"itemData":{"id":1383,"type":"article-jour</vt:lpwstr>
  </property>
  <property fmtid="{D5CDD505-2E9C-101B-9397-08002B2CF9AE}" pid="121" name="ZOTERO_BREF_o6bD2SBm7XOZ_2">
    <vt:lpwstr>nal","container-title":"Journal of Rural Studies","DOI":"10.1016/j.jrurstud.2022.09.006","ISSN":"0743-0167","journalAbbreviation":"Journal of Rural Studies","page":"326-335","source":"ScienceDirect","title":"The future of small farms and small food busine</vt:lpwstr>
  </property>
  <property fmtid="{D5CDD505-2E9C-101B-9397-08002B2CF9AE}" pid="122" name="ZOTERO_BREF_o6bD2SBm7XOZ_3">
    <vt:lpwstr>sses as actors in regional food security: A participatory scenario analysis from Europe and Africa","title-short":"The future of small farms and small food businesses as actors in regional food security","volume":"95","author":[{"family":"Ortiz-Miranda","</vt:lpwstr>
  </property>
  <property fmtid="{D5CDD505-2E9C-101B-9397-08002B2CF9AE}" pid="123" name="ZOTERO_BREF_o6bD2SBm7XOZ_4">
    <vt:lpwstr>given":"Dionisio"},{"family":"Moreno-Pérez","given":"Olga"},{"family":"Arnalte-Mur","given":"Laura"},{"family":"Cerrada-Serra","given":"Pedro"},{"family":"Martinez-Gomez","given":"Victor"},{"family":"Adolph","given":"Barbara"},{"family":"Atela","given":"J</vt:lpwstr>
  </property>
  <property fmtid="{D5CDD505-2E9C-101B-9397-08002B2CF9AE}" pid="124" name="ZOTERO_BREF_o6bD2SBm7XOZ_5">
    <vt:lpwstr>oanes"},{"family":"Ayambila","given":"Sylvester"},{"family":"Baptista","given":"Isaurinda"},{"family":"Barbu","given":"Raluca"},{"family":"Bjørkhaug","given":"Hilde"},{"family":"Czekaj","given":"Marta"},{"family":"Duckett","given":"Dominic"},{"family":"Fo</vt:lpwstr>
  </property>
  <property fmtid="{D5CDD505-2E9C-101B-9397-08002B2CF9AE}" pid="125" name="ZOTERO_BREF_o6bD2SBm7XOZ_6">
    <vt:lpwstr>rtes","given":"Arlindo"},{"family":"Galli","given":"Francesca"},{"family":"Goussios","given":"Giannis"},{"family":"Hernández","given":"Paola Andrea"},{"family":"Karanikolas","given":"Pavlos"},{"family":"Machila","given":"Kennedy"},{"family":"Oikonomopoulo</vt:lpwstr>
  </property>
  <property fmtid="{D5CDD505-2E9C-101B-9397-08002B2CF9AE}" pid="126" name="ZOTERO_BREF_o6bD2SBm7XOZ_7">
    <vt:lpwstr>u","given":"Elpiniki"},{"family":"Prosperi","given":"Paolo"},{"family":"Rivera","given":"María"},{"family":"Satoła","given":"Łukasz"},{"family":"Szafrańska","given":"Monika"},{"family":"Tisenkopfs","given":"Talis"},{"family":"Tonui","given":"Charles"},{"f</vt:lpwstr>
  </property>
  <property fmtid="{D5CDD505-2E9C-101B-9397-08002B2CF9AE}" pid="127" name="ZOTERO_BREF_o6bD2SBm7XOZ_8">
    <vt:lpwstr>amily":"Yeboah","given":"Richard"}],"issued":{"date-parts":[["2022",10,1]]}}}],"schema":"https://github.com/citation-style-language/schema/raw/master/csl-citation.json"}</vt:lpwstr>
  </property>
  <property fmtid="{D5CDD505-2E9C-101B-9397-08002B2CF9AE}" pid="128" name="ZOTERO_BREF_L1z1OX6ECplr_1">
    <vt:lpwstr>ZOTERO_ITEM CSL_CITATION {"citationID":"ySV4Tujb","properties":{"formattedCitation":"[12], [13], [14]","plainCitation":"[12], [13], [14]","noteIndex":0},"citationItems":[{"id":1457,"uris":["http://zotero.org/users/9837378/items/VL9LFCZ4"],"itemData":{"id"</vt:lpwstr>
  </property>
  <property fmtid="{D5CDD505-2E9C-101B-9397-08002B2CF9AE}" pid="129" name="ZOTERO_BREF_L1z1OX6ECplr_2">
    <vt:lpwstr>:1457,"type":"article-journal","abstract":"Large-scale food supply chains in the U.S. are cost efficient but lack resilience to external shocks. One approach to increasing food system resilience is through regionalization, in which a large and distributed</vt:lpwstr>
  </property>
  <property fmtid="{D5CDD505-2E9C-101B-9397-08002B2CF9AE}" pid="130" name="ZOTERO_BREF_L1z1OX6ECplr_3">
    <vt:lpwstr> network of diverse and independent farms provides redundancy and spreads out risk. However, the decentralized structure of regional food supply chains (RFSCs) inhibits transportation efficiencies, which increases producers’ costs and limits their market </vt:lpwstr>
  </property>
  <property fmtid="{D5CDD505-2E9C-101B-9397-08002B2CF9AE}" pid="131" name="ZOTERO_BREF_L1z1OX6ECplr_4">
    <vt:lpwstr>reach. Outsourcing transportation to commercial carriers and collaborating with other producers are two highly recommend-ed strategies for improving RFSC transportation efficiency, but research on producers’ perceptions of these strategies is limited. Thi</vt:lpwstr>
  </property>
  <property fmtid="{D5CDD505-2E9C-101B-9397-08002B2CF9AE}" pid="132" name="ZOTERO_BREF_L1z1OX6ECplr_5">
    <vt:lpwstr>s paper describes research that seeks to understand the major transportation barriers that prevent RFSC pro-ducers from efficiently reaching broader markets and how these barriers might be overcome. Focus groups with RFSC producers throughout the U.S. sta</vt:lpwstr>
  </property>
  <property fmtid="{D5CDD505-2E9C-101B-9397-08002B2CF9AE}" pid="133" name="ZOTERO_BREF_L1z1OX6ECplr_6">
    <vt:lpwstr>te of Texas were administered, with results indicating that participants view transportation as a significant barrier to their businesses’ growth and financial success. Outsourcing transportation to commercial carriers is viewed as a highly desira-ble alt</vt:lpwstr>
  </property>
  <property fmtid="{D5CDD505-2E9C-101B-9397-08002B2CF9AE}" pid="134" name="ZOTERO_BREF_L1z1OX6ECplr_7">
    <vt:lpwstr>ernative to self-delivery but is also con-sidered to be expensive and insufficiently flexible. Nearly all participants were excited about the idea of collaborative transportation, but there were serious concerns about competition and logistical coordinati</vt:lpwstr>
  </property>
  <property fmtid="{D5CDD505-2E9C-101B-9397-08002B2CF9AE}" pid="135" name="ZOTERO_BREF_L1z1OX6ECplr_8">
    <vt:lpwstr>on. Despite these barriers, the results suggest that the formation of regional transportation cooperatives and/or the development of information and communication technology infrastructure to facilitate collaboration could provide a path forward. Moreover</vt:lpwstr>
  </property>
  <property fmtid="{D5CDD505-2E9C-101B-9397-08002B2CF9AE}" pid="136" name="ZOTERO_BREF_L1z1OX6ECplr_9">
    <vt:lpwstr>, the criticality of transportation for RFSCs underscores the need for public funding to support implementation of these strategies. © 2024 by the Authors.","archive":"Scopus","container-title":"Journal of Agriculture, Food Systems, and Community Developm</vt:lpwstr>
  </property>
  <property fmtid="{D5CDD505-2E9C-101B-9397-08002B2CF9AE}" pid="137" name="ZOTERO_BREF_L1z1OX6ECplr_10">
    <vt:lpwstr>ent","DOI":"10.5304/jafscd.2024.141.018","issue":"1","source":"Scopus","title":"Transportation barriers in local and regional food supply chains","volume":"14","author":[{"family":"Krejci","given":"C.C."},{"family":"Marusak","given":"A.A."},{"family":"Sad</vt:lpwstr>
  </property>
  <property fmtid="{D5CDD505-2E9C-101B-9397-08002B2CF9AE}" pid="138" name="ZOTERO_BREF_L1z1OX6ECplr_11">
    <vt:lpwstr>eghiamirshahidi","given":"N."},{"family":"Mittal","given":"A."},{"family":"Beckwith","given":"S."}],"issued":{"date-parts":[["2024"]]}}},{"id":1458,"uris":["http://zotero.org/users/9837378/items/LJT6XUBJ"],"itemData":{"id":1458,"type":"article-journal","a</vt:lpwstr>
  </property>
  <property fmtid="{D5CDD505-2E9C-101B-9397-08002B2CF9AE}" pid="139" name="ZOTERO_BREF_L1z1OX6ECplr_12">
    <vt:lpwstr>bstract":"Since the outbreak of the COVID-19 pandemic in 2020, tens of thousands of scientific articles have been published. Researchers are enthusiastic to uncover the effects of COVID-19. This study aims to critically assess the methods researchers used</vt:lpwstr>
  </property>
  <property fmtid="{D5CDD505-2E9C-101B-9397-08002B2CF9AE}" pid="140" name="ZOTERO_BREF_L1z1OX6ECplr_13">
    <vt:lpwstr> to analyze the impact of COVID-19 on food security. The PRISMA and Bibliometric Methods were utilized in this study. The results of the PRISMA indicate that most researchers utilize quantitative methods, 61%, compared to 32% for qualitative and 7% for mi</vt:lpwstr>
  </property>
  <property fmtid="{D5CDD505-2E9C-101B-9397-08002B2CF9AE}" pid="141" name="ZOTERO_BREF_L1z1OX6ECplr_14">
    <vt:lpwstr>xed methods. These findings provide important data. Firstly, researchers continue relying on quantitative methods (multiple linear regression and Chi-square). Secondly, 32% of the articles utilized qualitative and only two qualitative methods, phenomenolo</vt:lpwstr>
  </property>
  <property fmtid="{D5CDD505-2E9C-101B-9397-08002B2CF9AE}" pid="142" name="ZOTERO_BREF_L1z1OX6ECplr_15">
    <vt:lpwstr>gical and case studies, have been identified. No researchers use grounded theory research (GTR) and ethnographic studies (SE). Thirdly, using mixed method among COVID-19 researchers is uncommon; only 3% of researchers employed it. Next, the results of the</vt:lpwstr>
  </property>
  <property fmtid="{D5CDD505-2E9C-101B-9397-08002B2CF9AE}" pid="143" name="ZOTERO_BREF_L1z1OX6ECplr_16">
    <vt:lpwstr> bibliometric reveal that the USA and China contribute the most to the publication on the impact of COVID-19 on food security. A review of research publications on the impact of COVID-19 on food security shows an alarming increase in food loss and waste d</vt:lpwstr>
  </property>
  <property fmtid="{D5CDD505-2E9C-101B-9397-08002B2CF9AE}" pid="144" name="ZOTERO_BREF_L1z1OX6ECplr_17">
    <vt:lpwstr>ue to excessive household food purchases. This trend has the potential to endanger food availability in the future. Recommendations to the government include offering incentives to reduce food loss and waste, improving supply chain coordination, training,</vt:lpwstr>
  </property>
  <property fmtid="{D5CDD505-2E9C-101B-9397-08002B2CF9AE}" pid="145" name="ZOTERO_BREF_L1z1OX6ECplr_18">
    <vt:lpwstr> and technical breakthroughs and innovations, especially for small-scale farmers. The government should support food banks and farmers' markets to shorten the value chain and connect farmers with consumers. © The Author(s) 2024.","archive":"Scopus","conta</vt:lpwstr>
  </property>
  <property fmtid="{D5CDD505-2E9C-101B-9397-08002B2CF9AE}" pid="146" name="ZOTERO_BREF_L1z1OX6ECplr_19">
    <vt:lpwstr>iner-title":"Agriculture and Food Security","DOI":"10.1186/s40066-024-00496-y","issue":"1","source":"Scopus","title":"A review of global research trends on the impact of the COVID-19 pandemic on food security","volume":"13","author":[{"family":"Darwis","g</vt:lpwstr>
  </property>
  <property fmtid="{D5CDD505-2E9C-101B-9397-08002B2CF9AE}" pid="147" name="ZOTERO_BREF_L1z1OX6ECplr_20">
    <vt:lpwstr>iven":"K."},{"family":"Salam","given":"M."},{"family":"Munizu","given":"M."},{"family":"Diansari","given":"P."}],"issued":{"date-parts":[["2024"]]}}},{"id":1459,"uris":["http://zotero.org/users/9837378/items/PMH6DZGP"],"itemData":{"id":1459,"type":"articl</vt:lpwstr>
  </property>
  <property fmtid="{D5CDD505-2E9C-101B-9397-08002B2CF9AE}" pid="148" name="ZOTERO_BREF_L1z1OX6ECplr_21">
    <vt:lpwstr>e-journal","abstract":"The paper aims to determine which factors influenced the level of farm income for small-scale farmers in Gauteng Province during the lockdown period. Simple random sampling was used to collect data from 132 small-scale farmers using</vt:lpwstr>
  </property>
  <property fmtid="{D5CDD505-2E9C-101B-9397-08002B2CF9AE}" pid="149" name="ZOTERO_BREF_L1z1OX6ECplr_22">
    <vt:lpwstr> an online survey between January and February 2023. The Ordinary Least Square model (OLS) was used to analyse the data. The results showed that the farmer's age, level of education, non-farm income, number of farm workers employed, farming experience and</vt:lpwstr>
  </property>
  <property fmtid="{D5CDD505-2E9C-101B-9397-08002B2CF9AE}" pid="150" name="ZOTERO_BREF_L1z1OX6ECplr_23">
    <vt:lpwstr> lockdown influenced the level of farm income. In contrast, lack of funding negatively influenced the level of farm income. By improving the level of education and providing specialised training on modern farming techniques and farm management, farmers ca</vt:lpwstr>
  </property>
  <property fmtid="{D5CDD505-2E9C-101B-9397-08002B2CF9AE}" pid="151" name="ZOTERO_BREF_L1z1OX6ECplr_24">
    <vt:lpwstr>n enhance their productivity and efficiency. In addition, to enhance the overall farm income, it is recommended that non-farm income opportunities be promoted and supported as they have been shown to positively influence the level of farm income. Governme</vt:lpwstr>
  </property>
  <property fmtid="{D5CDD505-2E9C-101B-9397-08002B2CF9AE}" pid="152" name="ZOTERO_BREF_L1z1OX6ECplr_25">
    <vt:lpwstr>nts and financial institutions should also work together to create and expand funding opportunities for small-scale farmers, such as low-interest loans, grants, and subsidies. © 2024, South African Society for Agricultural Extension (SASAE). All rights re</vt:lpwstr>
  </property>
  <property fmtid="{D5CDD505-2E9C-101B-9397-08002B2CF9AE}" pid="153" name="ZOTERO_BREF_L1z1OX6ECplr_26">
    <vt:lpwstr>served.","archive":"Scopus","container-title":"South African Journal of Agricultural Extension","DOI":"10.17159/2413-3221/2024/v52n5a16705","issue":"5","page":"136-150","source":"Scopus","title":"Determinants of Farm Income During Lockdown Restrictions Am</vt:lpwstr>
  </property>
  <property fmtid="{D5CDD505-2E9C-101B-9397-08002B2CF9AE}" pid="154" name="ZOTERO_BREF_L1z1OX6ECplr_27">
    <vt:lpwstr>ongst Small-Scale Farmers in the Gauteng Province, South Africa","volume":"52","author":[{"family":"Sibiya","given":"C.B."},{"family":"Maesela","given":"L.M."},{"family":"Ramashala","given":"M.A."},{"family":"Senyolo","given":"G.M."}],"issued":{"date-part</vt:lpwstr>
  </property>
  <property fmtid="{D5CDD505-2E9C-101B-9397-08002B2CF9AE}" pid="155" name="ZOTERO_BREF_L1z1OX6ECplr_28">
    <vt:lpwstr>s":[["2024"]]}}}],"schema":"https://github.com/citation-style-language/schema/raw/master/csl-citation.json"}</vt:lpwstr>
  </property>
  <property fmtid="{D5CDD505-2E9C-101B-9397-08002B2CF9AE}" pid="156" name="ZOTERO_BREF_gkyPZvC01QjR_1">
    <vt:lpwstr>ZOTERO_TEMP</vt:lpwstr>
  </property>
  <property fmtid="{D5CDD505-2E9C-101B-9397-08002B2CF9AE}" pid="157" name="ZOTERO_BREF_Cv3f0t8FreNF_1">
    <vt:lpwstr>ZOTERO_ITEM CSL_CITATION {"citationID":"AlNT6RhF","properties":{"formattedCitation":"[15], [16]","plainCitation":"[15], [16]","noteIndex":0},"citationItems":[{"id":1464,"uris":["http://zotero.org/users/9837378/items/SQRNEWAY"],"itemData":{"id":1464,"type"</vt:lpwstr>
  </property>
  <property fmtid="{D5CDD505-2E9C-101B-9397-08002B2CF9AE}" pid="158" name="ZOTERO_BREF_Cv3f0t8FreNF_2">
    <vt:lpwstr>:"article-journal","abstract":"The COVID-19 pandemic has disrupted global food supply chains, further compounded by the Russia-Ukraine conflict. These events have exacerbated food security concerns and exposed vulnerabilities in an already climate change-</vt:lpwstr>
  </property>
  <property fmtid="{D5CDD505-2E9C-101B-9397-08002B2CF9AE}" pid="159" name="ZOTERO_BREF_Cv3f0t8FreNF_3">
    <vt:lpwstr>impacted global food system. This confluence of challenges prompts a reconsideration of the potential of small-scale circular agriculture in addressing food insecurity and promoting environmental sustainability, particularly within Sub-Saharan Africa, wit</vt:lpwstr>
  </property>
  <property fmtid="{D5CDD505-2E9C-101B-9397-08002B2CF9AE}" pid="160" name="ZOTERO_BREF_Cv3f0t8FreNF_4">
    <vt:lpwstr>h a focus on Ghana. Moreover, exploring the role of circularity within agrifood value chains to combat food waste and loss is of paramount importance. Nevertheless, the existing sustainable agriculture literature offers limited insights into this domain. </vt:lpwstr>
  </property>
  <property fmtid="{D5CDD505-2E9C-101B-9397-08002B2CF9AE}" pid="161" name="ZOTERO_BREF_Cv3f0t8FreNF_5">
    <vt:lpwstr>This study aims to evaluate the possibilities presented by (a) small-scale circular agriculture and (b) the integration of circular economy principles within agrifood value chains to enhance food security and environmental sustainability in Ghana. Employi</vt:lpwstr>
  </property>
  <property fmtid="{D5CDD505-2E9C-101B-9397-08002B2CF9AE}" pid="162" name="ZOTERO_BREF_Cv3f0t8FreNF_6">
    <vt:lpwstr>ng ethnographic methods—comprising field observations, in-depth interviews, and focus group discussions—the research assesses the ecological and economic advantages of five circular agriculture systems (mixed cropping, mixed livestock-crop farming, agrofo</vt:lpwstr>
  </property>
  <property fmtid="{D5CDD505-2E9C-101B-9397-08002B2CF9AE}" pid="163" name="ZOTERO_BREF_Cv3f0t8FreNF_7">
    <vt:lpwstr>restry, crop rotation, and cover cropping) across five communities in Ghana’s Ashanti Region. The findings demonstrate that small-scale circular agriculture contributes to a more robust and sustainable food system, benefiting both farmers and the environm</vt:lpwstr>
  </property>
  <property fmtid="{D5CDD505-2E9C-101B-9397-08002B2CF9AE}" pid="164" name="ZOTERO_BREF_Cv3f0t8FreNF_8">
    <vt:lpwstr>ent. The adoption of circular practices enhances household food security, diminishes external input dependency, and fosters a self-sustaining and productive farming approach. Additionally, the study underscores the significance of collaboration and partne</vt:lpwstr>
  </property>
  <property fmtid="{D5CDD505-2E9C-101B-9397-08002B2CF9AE}" pid="165" name="ZOTERO_BREF_Cv3f0t8FreNF_9">
    <vt:lpwstr>rship among smallholder farmers, agrifood value chain participants, NGOs, and policymakers, which is essential for creating a conducive environment that reduces food loss and promotes circular agriculture adoption. © The Author(s), under exclusive licence</vt:lpwstr>
  </property>
  <property fmtid="{D5CDD505-2E9C-101B-9397-08002B2CF9AE}" pid="166" name="ZOTERO_BREF_Cv3f0t8FreNF_10">
    <vt:lpwstr> to Springer Nature Switzerland AG 2023.","archive":"Scopus","container-title":"Circular Economy and Sustainability","DOI":"10.1007/s43615-023-00320-y","issue":"2","page":"995-1019","source":"Scopus","title":"Why Small-Scale Circular Agriculture Is Centra</vt:lpwstr>
  </property>
  <property fmtid="{D5CDD505-2E9C-101B-9397-08002B2CF9AE}" pid="167" name="ZOTERO_BREF_Cv3f0t8FreNF_11">
    <vt:lpwstr>l to Food Security and Environmental Sustainability in Sub-Saharan Africa? The Case of Ghana","title-short":"Why Small-Scale Circular Agriculture Is Central to Food Security and Environmental Sustainability in Sub-Saharan Africa?","volume":"4","author":[{</vt:lpwstr>
  </property>
  <property fmtid="{D5CDD505-2E9C-101B-9397-08002B2CF9AE}" pid="168" name="ZOTERO_BREF_Cv3f0t8FreNF_12">
    <vt:lpwstr>"family":"Nkansah-Dwamena","given":"E."}],"issued":{"date-parts":[["2024"]]}}},{"id":1466,"uris":["http://zotero.org/users/9837378/items/2WPJDSEE"],"itemData":{"id":1466,"type":"article-journal","abstract":"The expansion of cities and land use changes hav</vt:lpwstr>
  </property>
  <property fmtid="{D5CDD505-2E9C-101B-9397-08002B2CF9AE}" pid="169" name="ZOTERO_BREF_Cv3f0t8FreNF_13">
    <vt:lpwstr>e led to the emergence of peri-urban areas representing a transition between fully urbanized and agricultural regions in Southeast Asia. Peri-urban communities provide essential ecosystem services but are vulnerable to climate-related disruptions and soci</vt:lpwstr>
  </property>
  <property fmtid="{D5CDD505-2E9C-101B-9397-08002B2CF9AE}" pid="170" name="ZOTERO_BREF_Cv3f0t8FreNF_14">
    <vt:lpwstr>oeconomic challenges. Utilizing their unique characteristics, peri-urban communities can contribute to sustainable development and resilience. This study assesses the potential of peri-urban areas to meet future challenges for sustainable development in a</vt:lpwstr>
  </property>
  <property fmtid="{D5CDD505-2E9C-101B-9397-08002B2CF9AE}" pid="171" name="ZOTERO_BREF_Cv3f0t8FreNF_15">
    <vt:lpwstr> changing world, focusing on the local pandan farming community of Pathum Thani, approximately 53 km north of Bangkok, using the Community-Based Resilience Analysis (CoBRA) approach. A formally established group of peri-urban farming households identified</vt:lpwstr>
  </property>
  <property fmtid="{D5CDD505-2E9C-101B-9397-08002B2CF9AE}" pid="172" name="ZOTERO_BREF_Cv3f0t8FreNF_16">
    <vt:lpwstr> COVID-19, water quality, and solid waste as their primary disruptive challenges. The community identified economic stability and resources (land ownership, financial security, and government support), community and social support (collaborative community</vt:lpwstr>
  </property>
  <property fmtid="{D5CDD505-2E9C-101B-9397-08002B2CF9AE}" pid="173" name="ZOTERO_BREF_Cv3f0t8FreNF_17">
    <vt:lpwstr>, and healthcare facilities), an environmental dimension (sufficient food and clean water), and an information dimension (news and knowledge update) as key community resilience characteristics, which highlight their comprehensive approach to hazard resili</vt:lpwstr>
  </property>
  <property fmtid="{D5CDD505-2E9C-101B-9397-08002B2CF9AE}" pid="174" name="ZOTERO_BREF_Cv3f0t8FreNF_18">
    <vt:lpwstr>ence. The study concludes that the community was moderately resilient to hazards and COVID-19 was the primary disrupting event over the past 10 years. To address future challenges in peri-urban agriculture, it is suggested to focus on enhancing economic d</vt:lpwstr>
  </property>
  <property fmtid="{D5CDD505-2E9C-101B-9397-08002B2CF9AE}" pid="175" name="ZOTERO_BREF_Cv3f0t8FreNF_19">
    <vt:lpwstr>iversification, strengthening social networks and support systems, implementing sustainable land management practices, and promoting access to timely and accurate information. Additionally, investing in infrastructure for water management and waste recycl</vt:lpwstr>
  </property>
  <property fmtid="{D5CDD505-2E9C-101B-9397-08002B2CF9AE}" pid="176" name="ZOTERO_BREF_Cv3f0t8FreNF_20">
    <vt:lpwstr>ing, supporting small-scale farming initiatives, and fostering collaboration between farmers and local authorities can contribute to building resilience in peri-urban agricultural communities. © 2024 by the authors.","archive":"Scopus","container-title":"</vt:lpwstr>
  </property>
  <property fmtid="{D5CDD505-2E9C-101B-9397-08002B2CF9AE}" pid="177" name="ZOTERO_BREF_Cv3f0t8FreNF_21">
    <vt:lpwstr>Land","DOI":"10.3390/land13091363","issue":"9","source":"Scopus","title":"Community-Based Resilience Analysis (CoBRA) to Hazard Disruption: Case Study of a Peri-Urban Agricultural Community in Thailand","title-short":"Community-Based Resilience Analysis (</vt:lpwstr>
  </property>
  <property fmtid="{D5CDD505-2E9C-101B-9397-08002B2CF9AE}" pid="178" name="ZOTERO_BREF_Cv3f0t8FreNF_22">
    <vt:lpwstr>CoBRA) to Hazard Disruption","volume":"13","author":[{"family":"Sahavacharin","given":"A."},{"family":"Likitswat","given":"F."},{"family":"Irvine","given":"K.N."},{"family":"Teang","given":"L."}],"issued":{"date-parts":[["2024"]]}}}],"schema":"https://git</vt:lpwstr>
  </property>
  <property fmtid="{D5CDD505-2E9C-101B-9397-08002B2CF9AE}" pid="179" name="ZOTERO_BREF_Cv3f0t8FreNF_23">
    <vt:lpwstr>hub.com/citation-style-language/schema/raw/master/csl-citation.json"}</vt:lpwstr>
  </property>
  <property fmtid="{D5CDD505-2E9C-101B-9397-08002B2CF9AE}" pid="180" name="ZOTERO_BREF_lmCVQgc14bIF_1">
    <vt:lpwstr>ZOTERO_ITEM CSL_CITATION {"citationID":"8MjoLksg","properties":{"formattedCitation":"[17]","plainCitation":"[17]","noteIndex":0},"citationItems":[{"id":1469,"uris":["http://zotero.org/users/9837378/items/53NEVUGB"],"itemData":{"id":1469,"type":"article-jo</vt:lpwstr>
  </property>
  <property fmtid="{D5CDD505-2E9C-101B-9397-08002B2CF9AE}" pid="181" name="ZOTERO_BREF_lmCVQgc14bIF_2">
    <vt:lpwstr>urnal","abstract":"CONTEXT: Agricultural sustainability in rural India is vital for ensuring food security and livelihoods, particularly for small-scale farmers. Many rural communities exhibit a blend of sustainable and unsustainable farming practices, af</vt:lpwstr>
  </property>
  <property fmtid="{D5CDD505-2E9C-101B-9397-08002B2CF9AE}" pid="182" name="ZOTERO_BREF_lmCVQgc14bIF_3">
    <vt:lpwstr>fecting both their agricultural productivity and resilience in the face of environmental and socio-economic challenges. OBJECTIVE: This study aims to evaluate the sustainability of agricultural practices within rural farming communities. The goal is to id</vt:lpwstr>
  </property>
  <property fmtid="{D5CDD505-2E9C-101B-9397-08002B2CF9AE}" pid="183" name="ZOTERO_BREF_lmCVQgc14bIF_4">
    <vt:lpwstr>entify weaknesses in resource management and productivity while proposing targeted interventions that promote sustainable practices in line with Sustainable Development Goal Indicator 2.4.1. METHODS: A mixed-method approach was adopted, integrating both q</vt:lpwstr>
  </property>
  <property fmtid="{D5CDD505-2E9C-101B-9397-08002B2CF9AE}" pid="184" name="ZOTERO_BREF_lmCVQgc14bIF_5">
    <vt:lpwstr>uantitative and qualitative data through surveys, interviews, and sub-indicators of sustainability. The research modified the FAO methodology for assessing agricultural sustainability and tailored it to local conditions. The Saiful participatory framework</vt:lpwstr>
  </property>
  <property fmtid="{D5CDD505-2E9C-101B-9397-08002B2CF9AE}" pid="185" name="ZOTERO_BREF_lmCVQgc14bIF_6">
    <vt:lpwstr> was further adapted to ensure stakeholder participation and the inclusion of culturally relevant practices. A visualized indicator framework was also developed to track sustainability progress effectively. RESULTS AND CONCLUSIONS: Key findings reveal tha</vt:lpwstr>
  </property>
  <property fmtid="{D5CDD505-2E9C-101B-9397-08002B2CF9AE}" pid="186" name="ZOTERO_BREF_lmCVQgc14bIF_7">
    <vt:lpwstr>t while these communities exhibit potential for improved sustainability, critical weaknesses in resource management and land use hinder productivity. The study also highlighted positive elements, such as community-driven initiatives that enhance sustainab</vt:lpwstr>
  </property>
  <property fmtid="{D5CDD505-2E9C-101B-9397-08002B2CF9AE}" pid="187" name="ZOTERO_BREF_lmCVQgc14bIF_8">
    <vt:lpwstr>le practices. The sub-indicator analysis identified priority areas for intervention, and the visualized framework provides a practical tool for monitoring farm-level sustainability. Results suggest the need for region-specific policies to address the uniq</vt:lpwstr>
  </property>
  <property fmtid="{D5CDD505-2E9C-101B-9397-08002B2CF9AE}" pid="188" name="ZOTERO_BREF_lmCVQgc14bIF_9">
    <vt:lpwstr>ue challenges faced by rural communities. SIGNIFICANCE: This study contributes to the assessment of agricultural sustainability by developing a locally adapted framework that can be applied across various rural settings. The findings provide insights for </vt:lpwstr>
  </property>
  <property fmtid="{D5CDD505-2E9C-101B-9397-08002B2CF9AE}" pid="189" name="ZOTERO_BREF_lmCVQgc14bIF_10">
    <vt:lpwstr>policymakers, agronomists, and rural development practitioners, emphasizing the importance of engaging local stakeholders and fostering sustainable practices that align with national and global sustainability goals. © 2024 Elsevier Ltd","archive":"Scopus"</vt:lpwstr>
  </property>
  <property fmtid="{D5CDD505-2E9C-101B-9397-08002B2CF9AE}" pid="190" name="ZOTERO_BREF_lmCVQgc14bIF_11">
    <vt:lpwstr>,"container-title":"Agricultural Systems","DOI":"10.1016/j.agsy.2024.104223","source":"Scopus","title":"Assessing farm-level agricultural sustainability in India: A comparative study using a mixed-method approach","title-short":"Assessing farm-level agric</vt:lpwstr>
  </property>
  <property fmtid="{D5CDD505-2E9C-101B-9397-08002B2CF9AE}" pid="191" name="ZOTERO_BREF_lmCVQgc14bIF_12">
    <vt:lpwstr>ultural sustainability in India","volume":"224","author":[{"family":"Abed","given":"N."},{"family":"Kakolaki","given":"M.B."},{"family":"Ramesh","given":"M.V."},{"family":"Sankarannair","given":"S."},{"family":"Murugan","given":"R."},{"family":"Soundharaj</vt:lpwstr>
  </property>
  <property fmtid="{D5CDD505-2E9C-101B-9397-08002B2CF9AE}" pid="192" name="ZOTERO_BREF_lmCVQgc14bIF_13">
    <vt:lpwstr>an","given":"B.S."},{"family":"Pushpalatha","given":"R."}],"issued":{"date-parts":[["2025"]]}}}],"schema":"https://github.com/citation-style-language/schema/raw/master/csl-citation.json"}</vt:lpwstr>
  </property>
  <property fmtid="{D5CDD505-2E9C-101B-9397-08002B2CF9AE}" pid="193" name="ZOTERO_BREF_0im3cBZBkqvV_1">
    <vt:lpwstr>ZOTERO_ITEM CSL_CITATION {"citationID":"QHzHdpiS","properties":{"formattedCitation":"[18], [19]","plainCitation":"[18], [19]","noteIndex":0},"citationItems":[{"id":1473,"uris":["http://zotero.org/users/9837378/items/RD7GP8SL"],"itemData":{"id":1473,"type"</vt:lpwstr>
  </property>
  <property fmtid="{D5CDD505-2E9C-101B-9397-08002B2CF9AE}" pid="194" name="ZOTERO_BREF_0im3cBZBkqvV_2">
    <vt:lpwstr>:"article-journal","abstract":"In the dynamic landscape of modern agriculture, integrating technology holds immense potential to enhance efficiency and productivity for small-scale farmers. This study presents a user-centric evaluation of an intelligent c</vt:lpwstr>
  </property>
  <property fmtid="{D5CDD505-2E9C-101B-9397-08002B2CF9AE}" pid="195" name="ZOTERO_BREF_0im3cBZBkqvV_3">
    <vt:lpwstr>ontext-aware alert system, tailored for small-scale greenhouse farming. We employed standardized questionnaires, including the NASA Task Load Index and the User Experience Questionnaire, to assess the system's perceived utility, mental workload, and overa</vt:lpwstr>
  </property>
  <property fmtid="{D5CDD505-2E9C-101B-9397-08002B2CF9AE}" pid="196" name="ZOTERO_BREF_0im3cBZBkqvV_4">
    <vt:lpwstr>ll user experience. Our findings reveal the high perceived utility of the system among farmers. Farmers participating in the assessment indicated a strong intention to utilize the system for crop monitoring. Moreover, the system demonstrated a moderate me</vt:lpwstr>
  </property>
  <property fmtid="{D5CDD505-2E9C-101B-9397-08002B2CF9AE}" pid="197" name="ZOTERO_BREF_0im3cBZBkqvV_5">
    <vt:lpwstr>ntal workload, suggesting ease of use and potential acceptance by users. Our evaluation highlighted an excellent user experience, with scores ranging from very good to extremely good across all dimensions. Furthermore, user preferences for alert mechanism</vt:lpwstr>
  </property>
  <property fmtid="{D5CDD505-2E9C-101B-9397-08002B2CF9AE}" pid="198" name="ZOTERO_BREF_0im3cBZBkqvV_6">
    <vt:lpwstr>s underscored the importance of adaptable notifications, with voice and text alerts favored for comprehensive information dissemination. Light and voice alerts were preferred during manual tasks. This study highlights the significance of user-centered des</vt:lpwstr>
  </property>
  <property fmtid="{D5CDD505-2E9C-101B-9397-08002B2CF9AE}" pid="199" name="ZOTERO_BREF_0im3cBZBkqvV_7">
    <vt:lpwstr>ign in agricultural technology, offering insights to enhance the usability and the adoption of alert systems in small-scale farming environments. The positive reception of the system's utility and the moderate mental workload suggest that such technology </vt:lpwstr>
  </property>
  <property fmtid="{D5CDD505-2E9C-101B-9397-08002B2CF9AE}" pid="200" name="ZOTERO_BREF_0im3cBZBkqvV_8">
    <vt:lpwstr>can be readily adopted by farmers, thereby improving monitoring and management practices in greenhouse farming. The preference for adaptable alert mechanisms further emphasizes the need for flexible and context-sensitive solutions in agricultural technolo</vt:lpwstr>
  </property>
  <property fmtid="{D5CDD505-2E9C-101B-9397-08002B2CF9AE}" pid="201" name="ZOTERO_BREF_0im3cBZBkqvV_9">
    <vt:lpwstr>gy. Copyright © 2024 Brenes, López, Ferrández-Pastor and Marín-Raventós.","archive":"Scopus","container-title":"Frontiers in Computer Science","DOI":"10.3389/fcomp.2024.1412913","source":"Scopus","title":"Usability assessment of a greenhouse context-aware</vt:lpwstr>
  </property>
  <property fmtid="{D5CDD505-2E9C-101B-9397-08002B2CF9AE}" pid="202" name="ZOTERO_BREF_0im3cBZBkqvV_10">
    <vt:lpwstr> alert system for small-scale farmers","volume":"6","author":[{"family":"Brenes","given":"J.A."},{"family":"López","given":"G."},{"family":"Ferrández-Pastor","given":"F.J."},{"family":"Marín-Raventós","given":"G."}],"issued":{"date-parts":[["2024"]]}}},{"</vt:lpwstr>
  </property>
  <property fmtid="{D5CDD505-2E9C-101B-9397-08002B2CF9AE}" pid="203" name="ZOTERO_BREF_0im3cBZBkqvV_11">
    <vt:lpwstr>id":1484,"uris":["http://zotero.org/users/9837378/items/GJNID5E7"],"itemData":{"id":1484,"type":"article-journal","abstract":"Automated systems, controlled with programmed reactive rules and set-point values for feedback regulation, require supervision an</vt:lpwstr>
  </property>
  <property fmtid="{D5CDD505-2E9C-101B-9397-08002B2CF9AE}" pid="204" name="ZOTERO_BREF_0im3cBZBkqvV_12">
    <vt:lpwstr>d adjustment by experienced technicians. These technicians must be familiar with the scenario where the controlled processes are carried out. In automated greenhouses, achieving optimal environmental values requires the expertise of a specialist technicia</vt:lpwstr>
  </property>
  <property fmtid="{D5CDD505-2E9C-101B-9397-08002B2CF9AE}" pid="205" name="ZOTERO_BREF_0im3cBZBkqvV_13">
    <vt:lpwstr>n. This introduces the need for an expert in the installation and the problem of depending on them. To reduce these inconveniences, the integration of three paradigms is proposed: user-centered design, deployment of data capture technology based on IoT pr</vt:lpwstr>
  </property>
  <property fmtid="{D5CDD505-2E9C-101B-9397-08002B2CF9AE}" pid="206" name="ZOTERO_BREF_0im3cBZBkqvV_14">
    <vt:lpwstr>otocols, and a reinforcement learning model. The objective of the reinforcement learning model is to make decisions in the programming of set-points for the climate control of a greenhouse. In this way, the need for manual and repetitive supervision of th</vt:lpwstr>
  </property>
  <property fmtid="{D5CDD505-2E9C-101B-9397-08002B2CF9AE}" pid="207" name="ZOTERO_BREF_0im3cBZBkqvV_15">
    <vt:lpwstr>e specialized technician is reduced; meanwhile, the control is optimized. The design, led by an expert technician in greenhouse installations, provides the necessary knowledge to transfer to a reinforcement learning model. On the other hand, deploying the</vt:lpwstr>
  </property>
  <property fmtid="{D5CDD505-2E9C-101B-9397-08002B2CF9AE}" pid="208" name="ZOTERO_BREF_0im3cBZBkqvV_16">
    <vt:lpwstr> required set of sensors and access to external data sources increases the capacity of the learning model to be deployed to current installations. The proposed system was tested in automated greenhouse facilities under the supervision of a specialized tec</vt:lpwstr>
  </property>
  <property fmtid="{D5CDD505-2E9C-101B-9397-08002B2CF9AE}" pid="209" name="ZOTERO_BREF_0im3cBZBkqvV_17">
    <vt:lpwstr>hnician, validating the usefulness of the proposed system. © 2023, The Author(s), under exclusive license to Springer Nature Switzerland AG.","archive":"Scopus","container-title":"Lecture Notes in Networks and Systems","DOI":"10.1007/978-3-031-48642-5_1",</vt:lpwstr>
  </property>
  <property fmtid="{D5CDD505-2E9C-101B-9397-08002B2CF9AE}" pid="210" name="ZOTERO_BREF_0im3cBZBkqvV_18">
    <vt:lpwstr>"page":"3-13","source":"Scopus","title":"Reinforcement Learning Model in Automated Greenhouse Control","volume":"842 LNNS","author":[{"family":"Ferrández-Pastor","given":"F.J."},{"family":"Cámara-Zapata","given":"J.M."},{"family":"Alcañiz-Lucas","given":"</vt:lpwstr>
  </property>
  <property fmtid="{D5CDD505-2E9C-101B-9397-08002B2CF9AE}" pid="211" name="ZOTERO_BREF_0im3cBZBkqvV_19">
    <vt:lpwstr>S."},{"family":"Pardo","given":"S."},{"family":"Brenes","given":"J.A."}],"issued":{"date-parts":[["2023"]]}}}],"schema":"https://github.com/citation-style-language/schema/raw/master/csl-citation.json"}</vt:lpwstr>
  </property>
  <property fmtid="{D5CDD505-2E9C-101B-9397-08002B2CF9AE}" pid="212" name="ZOTERO_BREF_uirjSicMzDgh_1">
    <vt:lpwstr>ZOTERO_ITEM CSL_CITATION {"citationID":"4A7hes0j","properties":{"formattedCitation":"[20]","plainCitation":"[20]","noteIndex":0},"citationItems":[{"id":1535,"uris":["http://zotero.org/users/9837378/items/3RI3ZJUW"],"itemData":{"id":1535,"type":"article-jo</vt:lpwstr>
  </property>
  <property fmtid="{D5CDD505-2E9C-101B-9397-08002B2CF9AE}" pid="213" name="ZOTERO_BREF_uirjSicMzDgh_2">
    <vt:lpwstr>urnal","abstract":"As a controllable environment, greenhouse has less resource consumption and emission than field crop production and reduced greenhouse gas emissions from agricultural production. Besides, the greenhouse with an intelligent monitoring sy</vt:lpwstr>
  </property>
  <property fmtid="{D5CDD505-2E9C-101B-9397-08002B2CF9AE}" pid="214" name="ZOTERO_BREF_uirjSicMzDgh_3">
    <vt:lpwstr>stem has better energy-saving and emission reduction effects. Simultaneously, the intelligent monitoring system can predict the extreme greenhouse environment in advance, reduce diseases and insect pests, reduce the use of pesticides and fertilizers, and </vt:lpwstr>
  </property>
  <property fmtid="{D5CDD505-2E9C-101B-9397-08002B2CF9AE}" pid="215" name="ZOTERO_BREF_uirjSicMzDgh_4">
    <vt:lpwstr>provide high-quality food. Researchers are becoming more and more interested in greenhouse monitoring systems, and how to put them into production correctly and effectively is a major challenge. This paper aims to review the intelligent greenhouse monitor</vt:lpwstr>
  </property>
  <property fmtid="{D5CDD505-2E9C-101B-9397-08002B2CF9AE}" pid="216" name="ZOTERO_BREF_uirjSicMzDgh_5">
    <vt:lpwstr>ing system systematically, serve the data transmission and server processing subsystems by identifying, listing and further explaining the greenhouse environmental parameters and studying the overall design of the greenhouse monitoring system. According t</vt:lpwstr>
  </property>
  <property fmtid="{D5CDD505-2E9C-101B-9397-08002B2CF9AE}" pid="217" name="ZOTERO_BREF_uirjSicMzDgh_6">
    <vt:lpwstr>o the characteristics of each component of the system, the paper makes a comparative study and obtains its development trend, summarizes the current popular technology and the future development trend of the intelligent monitoring system, and provides sup</vt:lpwstr>
  </property>
  <property fmtid="{D5CDD505-2E9C-101B-9397-08002B2CF9AE}" pid="218" name="ZOTERO_BREF_uirjSicMzDgh_7">
    <vt:lpwstr>port for the research of greenhouse monitoring system. It was found that multi-parameter monitoring is beneficial to achieve effective greenhouse control, and wireless technology has gradually replaced wired mode for data transmission in the environment b</vt:lpwstr>
  </property>
  <property fmtid="{D5CDD505-2E9C-101B-9397-08002B2CF9AE}" pid="219" name="ZOTERO_BREF_uirjSicMzDgh_8">
    <vt:lpwstr>oth inside and outside the greenhouse. Notably, deep learning, big data, and other advanced technologies used in greenhouse monitoring are considered valuable developments, further refine unmanned greenhouse management, and further improve greenhouse cons</vt:lpwstr>
  </property>
  <property fmtid="{D5CDD505-2E9C-101B-9397-08002B2CF9AE}" pid="220" name="ZOTERO_BREF_uirjSicMzDgh_9">
    <vt:lpwstr>truction's energy utilization. © 2021 Elsevier B.V.","archive":"Scopus","container-title":"Computers and Electronics in Agriculture","DOI":"10.1016/j.compag.2021.106558","source":"Scopus","title":"Towards automated greenhouse: A state of the art review on</vt:lpwstr>
  </property>
  <property fmtid="{D5CDD505-2E9C-101B-9397-08002B2CF9AE}" pid="221" name="ZOTERO_BREF_uirjSicMzDgh_10">
    <vt:lpwstr> greenhouse monitoring methods and technologies based on internet of things","title-short":"Towards automated greenhouse","volume":"191","author":[{"family":"Li","given":"H."},{"family":"Guo","given":"Y."},{"family":"Zhao","given":"H."},{"family":"Wang","</vt:lpwstr>
  </property>
  <property fmtid="{D5CDD505-2E9C-101B-9397-08002B2CF9AE}" pid="222" name="ZOTERO_BREF_uirjSicMzDgh_11">
    <vt:lpwstr>given":"Y."},{"family":"Chow","given":"D."}],"issued":{"date-parts":[["2021"]]}}}],"schema":"https://github.com/citation-style-language/schema/raw/master/csl-citation.json"}</vt:lpwstr>
  </property>
  <property fmtid="{D5CDD505-2E9C-101B-9397-08002B2CF9AE}" pid="223" name="ZOTERO_BREF_unf4WHl8PECk_1">
    <vt:lpwstr>ZOTERO_ITEM CSL_CITATION {"citationID":"tWhzXXw8","properties":{"formattedCitation":"[21], [22], [23]","plainCitation":"[21], [22], [23]","noteIndex":0},"citationItems":[{"id":1387,"uris":["http://zotero.org/users/9837378/items/T7FIHLBF"],"itemData":{"id"</vt:lpwstr>
  </property>
  <property fmtid="{D5CDD505-2E9C-101B-9397-08002B2CF9AE}" pid="224" name="ZOTERO_BREF_unf4WHl8PECk_2">
    <vt:lpwstr>:1387,"type":"article-journal","abstract":"Given the constraints agricultural land, the use of agricultural greenhouses is suggested as a fundamental approach to ensure food provision; nevertheless, the substantial energy consumption associated with green</vt:lpwstr>
  </property>
  <property fmtid="{D5CDD505-2E9C-101B-9397-08002B2CF9AE}" pid="225" name="ZOTERO_BREF_unf4WHl8PECk_3">
    <vt:lpwstr>house production, coupled with the constraints and finite nature of energy resources, provide significant difficulties for the human. Hence, to enhance the efficiency of each input in production, the management of agricultural input consumption and decisi</vt:lpwstr>
  </property>
  <property fmtid="{D5CDD505-2E9C-101B-9397-08002B2CF9AE}" pid="226" name="ZOTERO_BREF_unf4WHl8PECk_4">
    <vt:lpwstr>on-making is of paramount significance. The present study was conducted to determine and validate efficient factors for energy consumption in cucumber greenhouses in Iran. This study, by analyzing the energy inputs and outputs, as well as the factors that</vt:lpwstr>
  </property>
  <property fmtid="{D5CDD505-2E9C-101B-9397-08002B2CF9AE}" pid="227" name="ZOTERO_BREF_unf4WHl8PECk_5">
    <vt:lpwstr> influence that, assessed the energy efficiency of greenhouse production. The study was conducted in Kerman Province which is known as the center of greenhouse cucumber production center in Iran. A total of 356 greenhouse owners were selected using two-st</vt:lpwstr>
  </property>
  <property fmtid="{D5CDD505-2E9C-101B-9397-08002B2CF9AE}" pid="228" name="ZOTERO_BREF_unf4WHl8PECk_6">
    <vt:lpwstr>age cluster sampling method. The study, using a theoretical framework, assessed the influence of technical knowledge, environmental values, environmental beliefs, environmental norms, education levels, Greenhouse’s work experience, educational-extension s</vt:lpwstr>
  </property>
  <property fmtid="{D5CDD505-2E9C-101B-9397-08002B2CF9AE}" pid="229" name="ZOTERO_BREF_unf4WHl8PECk_7">
    <vt:lpwstr>ervices, cost-effectiveness, and technical management on energy consumption efficiency. The research findings indicated that a substantial percentage (79%) of the variability in the energy consumption efficiency variable could be accurately anticipated by</vt:lpwstr>
  </property>
  <property fmtid="{D5CDD505-2E9C-101B-9397-08002B2CF9AE}" pid="230" name="ZOTERO_BREF_unf4WHl8PECk_8">
    <vt:lpwstr> these factors. Furthermore, the analysis of the effective factors on the sustainability of energy consumption have indicated the large influence of educational-extension services on the greenhouse owners in line with optimal energy consumption. Overall, </vt:lpwstr>
  </property>
  <property fmtid="{D5CDD505-2E9C-101B-9397-08002B2CF9AE}" pid="231" name="ZOTERO_BREF_unf4WHl8PECk_9">
    <vt:lpwstr>the findings of the present study contribute to the development of more integrated and more comprehensive models in the area of energy consumption sustainability in greenhouse cropping systems.","container-title":"Environment, Development and Sustainabili</vt:lpwstr>
  </property>
  <property fmtid="{D5CDD505-2E9C-101B-9397-08002B2CF9AE}" pid="232" name="ZOTERO_BREF_unf4WHl8PECk_10">
    <vt:lpwstr>ty","DOI":"10.1007/s10668-024-04851-8","ISSN":"1573-2975","journalAbbreviation":"Environ Dev Sustain","language":"en","source":"DOI.org (Crossref)","title":"Factors influencing energy consumption efficiency in greenhouse cropping systems","URL":"https://l</vt:lpwstr>
  </property>
  <property fmtid="{D5CDD505-2E9C-101B-9397-08002B2CF9AE}" pid="233" name="ZOTERO_BREF_unf4WHl8PECk_11">
    <vt:lpwstr>ink.springer.com/10.1007/s10668-024-04851-8","author":[{"family":"Behroozeh","given":"Samira"},{"family":"Hayati","given":"Dariush"},{"family":"Karami","given":"Ezatollah"}],"accessed":{"date-parts":[["2024",10,21]]},"issued":{"date-parts":[["2024",4,13]]</vt:lpwstr>
  </property>
  <property fmtid="{D5CDD505-2E9C-101B-9397-08002B2CF9AE}" pid="234" name="ZOTERO_BREF_unf4WHl8PECk_12">
    <vt:lpwstr>}}},{"id":1394,"uris":["http://zotero.org/users/9837378/items/WBQUJFA9"],"itemData":{"id":1394,"type":"article-journal","abstract":"Growth in terms of yield and growth parameters of tomato plants grown in greenhouse and open fields was investigated in the</vt:lpwstr>
  </property>
  <property fmtid="{D5CDD505-2E9C-101B-9397-08002B2CF9AE}" pid="235" name="ZOTERO_BREF_unf4WHl8PECk_13">
    <vt:lpwstr> present study. Growth in terms of height results showed that the p-value was found to be 0.025054. The significant differences were observed in tomato crops grown in two systems at p","container-title":"Innovations in Agriculture","DOI":"10.25081/ia.2023</vt:lpwstr>
  </property>
  <property fmtid="{D5CDD505-2E9C-101B-9397-08002B2CF9AE}" pid="236" name="ZOTERO_BREF_unf4WHl8PECk_14">
    <vt:lpwstr>-02","ISSN":"2617-1295","journalAbbreviation":"Innovations Agric","language":"en","license":"https://innovationsagriculture.com/?sec=licenseinfo","page":"1-9","source":"DOI.org (Crossref)","title":"Greenhouse and open-field Tomato farming. A comparison th</vt:lpwstr>
  </property>
  <property fmtid="{D5CDD505-2E9C-101B-9397-08002B2CF9AE}" pid="237" name="ZOTERO_BREF_unf4WHl8PECk_15">
    <vt:lpwstr>rough yield and growth parameters investigated in Dar es Salaam","author":[{"family":"Chacha","given":"James"},{"family":"Thirumalai","given":"Murugan"},{"family":"Mathias","given":"Nafue"},{"family":"Idawa","given":"Obeid"},{"family":"Chilwea","given":"J</vt:lpwstr>
  </property>
  <property fmtid="{D5CDD505-2E9C-101B-9397-08002B2CF9AE}" pid="238" name="ZOTERO_BREF_unf4WHl8PECk_16">
    <vt:lpwstr>osephine"},{"family":"Kilamba","given":"Concheska"},{"family":"Hussy","given":"Bertha"},{"family":"Rajendran","given":"Kalidoss"},{"family":"Ishaq","given":"Haaniya"}],"issued":{"date-parts":[["2023"]]}}},{"id":1399,"uris":["http://zotero.org/users/983737</vt:lpwstr>
  </property>
  <property fmtid="{D5CDD505-2E9C-101B-9397-08002B2CF9AE}" pid="239" name="ZOTERO_BREF_unf4WHl8PECk_17">
    <vt:lpwstr>8/items/4EX99XE3"],"itemData":{"id":1399,"type":"article-journal","abstract":"The potential of the parasitoid, Gronotoma micromorpha (Perkin) as a biological control agent for pea leafminer fly, Liriomyza huidobrensis (Blanchard) has been evaluated in a s</vt:lpwstr>
  </property>
  <property fmtid="{D5CDD505-2E9C-101B-9397-08002B2CF9AE}" pid="240" name="ZOTERO_BREF_unf4WHl8PECk_18">
    <vt:lpwstr>eries of studies on the fly preference to host instars, biological characteristic and functional response to the host density. The studies were carried out at the Laboratory of Integrated Pest Management (IPMLab), Faculty of Agriculture Udayana University</vt:lpwstr>
  </property>
  <property fmtid="{D5CDD505-2E9C-101B-9397-08002B2CF9AE}" pid="241" name="ZOTERO_BREF_unf4WHl8PECk_19">
    <vt:lpwstr> in Denpasar and Greenhouse Owned-Farmer in Pancasari Buleleng, Bali (1200 m asl; average temperature 23.67 ± 5.69 °C and average RH of 64 ± 17.69%). The results showed that G. micromorpha has a strong preference towards the 3rd instar larvae of L. huidob</vt:lpwstr>
  </property>
  <property fmtid="{D5CDD505-2E9C-101B-9397-08002B2CF9AE}" pid="242" name="ZOTERO_BREF_unf4WHl8PECk_20">
    <vt:lpwstr>rensis. The pre-oviposition period was 0.4 ± 0.67d, oviposition was 12.5 ± 2.0d and post-oviposition period was 1 ± 0.0d while the peak oviposition occurred on the 4th day. Meanwhile, all the offsprings produced were females which indicated that parthenog</vt:lpwstr>
  </property>
  <property fmtid="{D5CDD505-2E9C-101B-9397-08002B2CF9AE}" pid="243" name="ZOTERO_BREF_unf4WHl8PECk_21">
    <vt:lpwstr>enesis thelytokous was present in G. Micromorpha and the fecundity was 29 ± 3.77 per female adult. Furthermore, the average life span for the adult was 13 ± 1.42 days with an oviposition period of 12.5 ± 2.01 days. The average post-oviposition period was </vt:lpwstr>
  </property>
  <property fmtid="{D5CDD505-2E9C-101B-9397-08002B2CF9AE}" pid="244" name="ZOTERO_BREF_unf4WHl8PECk_22">
    <vt:lpwstr>1 ± 0.0 days and average development period of egg to adult was 32.03 ± 0.98 days. Meanwhile, the breeding potential was high with an average daily percentage of 2.27 ± 0.27 fecundity and a maximum spawning occurred on day 4. The functional response was t</vt:lpwstr>
  </property>
  <property fmtid="{D5CDD505-2E9C-101B-9397-08002B2CF9AE}" pid="245" name="ZOTERO_BREF_unf4WHl8PECk_23">
    <vt:lpwstr>ype-2 and it is the rate at which parasitism increase with increase in population of the host density. Hence, the biological characteristics and mode of functional response by the parasitoid showed its potential as a biological pesticide for pea leafminer</vt:lpwstr>
  </property>
  <property fmtid="{D5CDD505-2E9C-101B-9397-08002B2CF9AE}" pid="246" name="ZOTERO_BREF_unf4WHl8PECk_24">
    <vt:lpwstr> L. huidobrensis.","container-title":"Acta Ecologica Sinica","DOI":"10.1016/j.chnaes.2021.06.008","ISSN":"1872-2032","issue":"2","journalAbbreviation":"Acta Ecologica Sinica","page":"90-94","source":"ScienceDirect","title":"Potential of parasitoid &lt;i&gt;Gron</vt:lpwstr>
  </property>
  <property fmtid="{D5CDD505-2E9C-101B-9397-08002B2CF9AE}" pid="247" name="ZOTERO_BREF_unf4WHl8PECk_25">
    <vt:lpwstr>otoma micromorpha&lt;/i&gt; Perkin (Hymenoptera: Eucoilidae) as a biocontrol agent for pea leafminer fly, &lt;i&gt;Liriomyza huidobrensis&lt;/i&gt; Blanchard (Diptera: Agromyzidae)","title-short":"Potential of parasitoid &lt;i&gt;Gronotoma micromorpha&lt;/i&gt; Perkin (Hymenoptera","v</vt:lpwstr>
  </property>
  <property fmtid="{D5CDD505-2E9C-101B-9397-08002B2CF9AE}" pid="248" name="ZOTERO_BREF_unf4WHl8PECk_26">
    <vt:lpwstr>olume":"42","author":[{"family":"Supartha","given":"I. Wayan"},{"family":"Susila","given":"I. Wayan"},{"literal":"Yohanes"},{"family":"Yudha","given":"I. Kadek Wisma"},{"family":"Wiradana","given":"Putu Angga"}],"issued":{"date-parts":[["2022",4,1]]}}}],"</vt:lpwstr>
  </property>
  <property fmtid="{D5CDD505-2E9C-101B-9397-08002B2CF9AE}" pid="249" name="ZOTERO_BREF_unf4WHl8PECk_27">
    <vt:lpwstr>schema":"https://github.com/citation-style-language/schema/raw/master/csl-citation.json"}</vt:lpwstr>
  </property>
  <property fmtid="{D5CDD505-2E9C-101B-9397-08002B2CF9AE}" pid="250" name="ZOTERO_BREF_HD6e2Gt66lD8_1">
    <vt:lpwstr>ZOTERO_ITEM CSL_CITATION {"citationID":"IFa3haXk","properties":{"formattedCitation":"[24]","plainCitation":"[24]","noteIndex":0},"citationItems":[{"id":1548,"uris":["http://zotero.org/users/9837378/items/MQ59WITR"],"itemData":{"id":1548,"type":"article-jo</vt:lpwstr>
  </property>
  <property fmtid="{D5CDD505-2E9C-101B-9397-08002B2CF9AE}" pid="251" name="ZOTERO_BREF_HD6e2Gt66lD8_2">
    <vt:lpwstr>urnal","abstract":"Hydroponics is a soilless farming technique that has emerged as a sustainable alternative. However, new technologies such as Industry 4.0, the internet of things (IoT), and artificial intelligence are needed to keep up with issues relat</vt:lpwstr>
  </property>
  <property fmtid="{D5CDD505-2E9C-101B-9397-08002B2CF9AE}" pid="252" name="ZOTERO_BREF_HD6e2Gt66lD8_3">
    <vt:lpwstr>ed to economics, automation, and social challenges in hydroponics farming. One significant issue is optimizing growth parameters to identify the best conditions for growing fruits and vegetables. These parameters include pH, total dissolved solids (TDS), </vt:lpwstr>
  </property>
  <property fmtid="{D5CDD505-2E9C-101B-9397-08002B2CF9AE}" pid="253" name="ZOTERO_BREF_HD6e2Gt66lD8_4">
    <vt:lpwstr>electrical conductivity (EC), light intensity, daily light integral (DLI), and nutrient solution/ambient temperature and humidity. To address these challenges, a systematic literature review was conducted aiming to answer research questions regarding the </vt:lpwstr>
  </property>
  <property fmtid="{D5CDD505-2E9C-101B-9397-08002B2CF9AE}" pid="254" name="ZOTERO_BREF_HD6e2Gt66lD8_5">
    <vt:lpwstr>optimal growth parameters for leafy green vegetables and herbs and spices grown in hydroponic systems. The review selected a total of 131 papers related to indoor farming, hydroponics, and aquaponics. The review selected a total of 123 papers related to i</vt:lpwstr>
  </property>
  <property fmtid="{D5CDD505-2E9C-101B-9397-08002B2CF9AE}" pid="255" name="ZOTERO_BREF_HD6e2Gt66lD8_6">
    <vt:lpwstr>ndoor farming, hydroponics, and aquaponics. The majority of the articles focused on technology description (38.5%), artificial illumination (26.2%), and nutrient solution composition/parameters (13.8%). Additionally, remaining 10.7% articles focused on th</vt:lpwstr>
  </property>
  <property fmtid="{D5CDD505-2E9C-101B-9397-08002B2CF9AE}" pid="256" name="ZOTERO_BREF_HD6e2Gt66lD8_7">
    <vt:lpwstr>e application of sensors, slope, environment and economy. This comprehensive review provides valuable information on optimized growth parameters for smart hydroponic systems and explores future prospects and the application of digital technologies in this</vt:lpwstr>
  </property>
  <property fmtid="{D5CDD505-2E9C-101B-9397-08002B2CF9AE}" pid="257" name="ZOTERO_BREF_HD6e2Gt66lD8_8">
    <vt:lpwstr> field. © 2024 by the authors.","archive":"Scopus","container-title":"AI (Switzerland)","DOI":"10.3390/ai5030073","issue":"3","page":"1517-1533","source":"Scopus","title":"A Systematic Literature Review on Parameters Optimization for Smart Hydroponic Syst</vt:lpwstr>
  </property>
  <property fmtid="{D5CDD505-2E9C-101B-9397-08002B2CF9AE}" pid="258" name="ZOTERO_BREF_HD6e2Gt66lD8_9">
    <vt:lpwstr>ems","volume":"5","author":[{"family":"Shareef","given":"U."},{"family":"Rehman","given":"A.U."},{"family":"Ahmad","given":"R."}],"issued":{"date-parts":[["2024"]]}}}],"schema":"https://github.com/citation-style-language/schema/raw/master/csl-citation.jso</vt:lpwstr>
  </property>
  <property fmtid="{D5CDD505-2E9C-101B-9397-08002B2CF9AE}" pid="259" name="ZOTERO_BREF_HD6e2Gt66lD8_10">
    <vt:lpwstr>n"}</vt:lpwstr>
  </property>
  <property fmtid="{D5CDD505-2E9C-101B-9397-08002B2CF9AE}" pid="260" name="ZOTERO_BREF_wr9nYUHneNSa_1">
    <vt:lpwstr>ZOTERO_ITEM CSL_CITATION {"citationID":"08vbTlwT","properties":{"formattedCitation":"[24], [25]","plainCitation":"[24], [25]","noteIndex":0},"citationItems":[{"id":1548,"uris":["http://zotero.org/users/9837378/items/MQ59WITR"],"itemData":{"id":1548,"type"</vt:lpwstr>
  </property>
  <property fmtid="{D5CDD505-2E9C-101B-9397-08002B2CF9AE}" pid="261" name="ZOTERO_BREF_wr9nYUHneNSa_2">
    <vt:lpwstr>:"article-journal","abstract":"Hydroponics is a soilless farming technique that has emerged as a sustainable alternative. However, new technologies such as Industry 4.0, the internet of things (IoT), and artificial intelligence are needed to keep up with </vt:lpwstr>
  </property>
  <property fmtid="{D5CDD505-2E9C-101B-9397-08002B2CF9AE}" pid="262" name="ZOTERO_BREF_wr9nYUHneNSa_3">
    <vt:lpwstr>issues related to economics, automation, and social challenges in hydroponics farming. One significant issue is optimizing growth parameters to identify the best conditions for growing fruits and vegetables. These parameters include pH, total dissolved so</vt:lpwstr>
  </property>
  <property fmtid="{D5CDD505-2E9C-101B-9397-08002B2CF9AE}" pid="263" name="ZOTERO_BREF_wr9nYUHneNSa_4">
    <vt:lpwstr>lids (TDS), electrical conductivity (EC), light intensity, daily light integral (DLI), and nutrient solution/ambient temperature and humidity. To address these challenges, a systematic literature review was conducted aiming to answer research questions re</vt:lpwstr>
  </property>
  <property fmtid="{D5CDD505-2E9C-101B-9397-08002B2CF9AE}" pid="264" name="ZOTERO_BREF_wr9nYUHneNSa_5">
    <vt:lpwstr>garding the optimal growth parameters for leafy green vegetables and herbs and spices grown in hydroponic systems. The review selected a total of 131 papers related to indoor farming, hydroponics, and aquaponics. The review selected a total of 123 papers </vt:lpwstr>
  </property>
  <property fmtid="{D5CDD505-2E9C-101B-9397-08002B2CF9AE}" pid="265" name="ZOTERO_BREF_wr9nYUHneNSa_6">
    <vt:lpwstr>related to indoor farming, hydroponics, and aquaponics. The majority of the articles focused on technology description (38.5%), artificial illumination (26.2%), and nutrient solution composition/parameters (13.8%). Additionally, remaining 10.7% articles f</vt:lpwstr>
  </property>
  <property fmtid="{D5CDD505-2E9C-101B-9397-08002B2CF9AE}" pid="266" name="ZOTERO_BREF_wr9nYUHneNSa_7">
    <vt:lpwstr>ocused on the application of sensors, slope, environment and economy. This comprehensive review provides valuable information on optimized growth parameters for smart hydroponic systems and explores future prospects and the application of digital technolo</vt:lpwstr>
  </property>
  <property fmtid="{D5CDD505-2E9C-101B-9397-08002B2CF9AE}" pid="267" name="ZOTERO_BREF_wr9nYUHneNSa_8">
    <vt:lpwstr>gies in this field. © 2024 by the authors.","archive":"Scopus","container-title":"AI (Switzerland)","DOI":"10.3390/ai5030073","issue":"3","page":"1517-1533","source":"Scopus","title":"A Systematic Literature Review on Parameters Optimization for Smart Hyd</vt:lpwstr>
  </property>
  <property fmtid="{D5CDD505-2E9C-101B-9397-08002B2CF9AE}" pid="268" name="ZOTERO_BREF_wr9nYUHneNSa_9">
    <vt:lpwstr>roponic Systems","volume":"5","author":[{"family":"Shareef","given":"U."},{"family":"Rehman","given":"A.U."},{"family":"Ahmad","given":"R."}],"issued":{"date-parts":[["2024"]]}}},{"id":1551,"uris":["http://zotero.org/users/9837378/items/CQHH2NIA"],"itemDa</vt:lpwstr>
  </property>
  <property fmtid="{D5CDD505-2E9C-101B-9397-08002B2CF9AE}" pid="269" name="ZOTERO_BREF_wr9nYUHneNSa_10">
    <vt:lpwstr>ta":{"id":1551,"type":"article-journal","abstract":"The Internet of Things (IoT) is the basis of smart agriculture technology since it connects all aspects of intelligent systems in other industries and agricultural applications. The current farming metho</vt:lpwstr>
  </property>
  <property fmtid="{D5CDD505-2E9C-101B-9397-08002B2CF9AE}" pid="270" name="ZOTERO_BREF_wr9nYUHneNSa_11">
    <vt:lpwstr>ds are sufficient to supply adequate food in the future due to the fast-expanding global population. Smart farming aims to increase farm output and efficiency by leveraging state-of-the-art information technologies. The present study of IoT in agriculture</vt:lpwstr>
  </property>
  <property fmtid="{D5CDD505-2E9C-101B-9397-08002B2CF9AE}" pid="271" name="ZOTERO_BREF_wr9nYUHneNSa_12">
    <vt:lpwstr> was discussed in this review paper by studying significant literature, new techniques, protocols, challenges, issues, and potential paths for IoT-based smart farming. The soil-free technique connected to the hydroponic and aeroponic methods, known as soi</vt:lpwstr>
  </property>
  <property fmtid="{D5CDD505-2E9C-101B-9397-08002B2CF9AE}" pid="272" name="ZOTERO_BREF_wr9nYUHneNSa_13">
    <vt:lpwstr>lless cultivation, is an alternative technology that can adapt well to such circumstances. The aeroponics method offers more advantages regarding faster plant development, increased productivity, and better nutrient absorption. Moreover, several methods a</vt:lpwstr>
  </property>
  <property fmtid="{D5CDD505-2E9C-101B-9397-08002B2CF9AE}" pid="273" name="ZOTERO_BREF_wr9nYUHneNSa_14">
    <vt:lpwstr>nd their measures used in aeroponics system using IoT devices were discussed. © 2024","archive":"Scopus","container-title":"Computer Science Review","DOI":"10.1016/j.cosrev.2024.100694","source":"Scopus","title":"A comprehensive review on current issues a</vt:lpwstr>
  </property>
  <property fmtid="{D5CDD505-2E9C-101B-9397-08002B2CF9AE}" pid="274" name="ZOTERO_BREF_wr9nYUHneNSa_15">
    <vt:lpwstr>nd advancements of Internet of Things in precision agriculture","volume":"55","author":[{"family":"Dhanasekar","given":"S."}],"issued":{"date-parts":[["2025"]]}}}],"schema":"https://github.com/citation-style-language/schema/raw/master/csl-citation.json"}</vt:lpwstr>
  </property>
  <property fmtid="{D5CDD505-2E9C-101B-9397-08002B2CF9AE}" pid="275" name="ZOTERO_BREF_oqrrWCSvIZB8_1">
    <vt:lpwstr>ZOTERO_ITEM CSL_CITATION {"citationID":"ap9yI7Yw","properties":{"formattedCitation":"[26], [27], [28]","plainCitation":"[26], [27], [28]","noteIndex":0},"citationItems":[{"id":1556,"uris":["http://zotero.org/users/9837378/items/57G9IGXE"],"itemData":{"id"</vt:lpwstr>
  </property>
  <property fmtid="{D5CDD505-2E9C-101B-9397-08002B2CF9AE}" pid="276" name="ZOTERO_BREF_oqrrWCSvIZB8_2">
    <vt:lpwstr>:1556,"type":"article-journal","abstract":"&lt;p&gt;Vegetable cultivation stands as a pivotal element in the agricultural transformation illustrating a complex interplay between technological advancements, evolving environmental perspectives, and the growing gl</vt:lpwstr>
  </property>
  <property fmtid="{D5CDD505-2E9C-101B-9397-08002B2CF9AE}" pid="277" name="ZOTERO_BREF_oqrrWCSvIZB8_3">
    <vt:lpwstr>obal demand for food. This comprehensive review delves into the broad spectrum of developments in modern vegetable cultivation practices. Rooted in historical traditions, our exploration commences with conventional cultivation methods and traces the progr</vt:lpwstr>
  </property>
  <property fmtid="{D5CDD505-2E9C-101B-9397-08002B2CF9AE}" pid="278" name="ZOTERO_BREF_oqrrWCSvIZB8_4">
    <vt:lpwstr>ession toward contemporary practices emphasizing the critical shifts that have refined techniques and outcomes. A significant focus is placed on the evolution of seed selection and quality assessment methods underlining the growing importance of seed trea</vt:lpwstr>
  </property>
  <property fmtid="{D5CDD505-2E9C-101B-9397-08002B2CF9AE}" pid="279" name="ZOTERO_BREF_oqrrWCSvIZB8_5">
    <vt:lpwstr>tments in enhancing both germination and plant growth. Transitioning from seeds to the soil, we investigate the transformative journey from traditional soil-based cultivation to the adoption of soilless cultures and the utilization of sustainable substrat</vt:lpwstr>
  </property>
  <property fmtid="{D5CDD505-2E9C-101B-9397-08002B2CF9AE}" pid="280" name="ZOTERO_BREF_oqrrWCSvIZB8_6">
    <vt:lpwstr>es like biochar and coir. The review also examines modern environmental controls highlighting the use of advanced greenhouse technologies and artificial intelligence in optimizing plant growth conditions. We underscore the increasing sophistication in wat</vt:lpwstr>
  </property>
  <property fmtid="{D5CDD505-2E9C-101B-9397-08002B2CF9AE}" pid="281" name="ZOTERO_BREF_oqrrWCSvIZB8_7">
    <vt:lpwstr>er management strategies from advanced irrigation systems to intelligent moisture sensing. Additionally, this paper discusses the intricate aspects of precision fertilization, integrated pest management, and the expanding influence of plant growth regulat</vt:lpwstr>
  </property>
  <property fmtid="{D5CDD505-2E9C-101B-9397-08002B2CF9AE}" pid="282" name="ZOTERO_BREF_oqrrWCSvIZB8_8">
    <vt:lpwstr>ors in vegetable cultivation. A special segment is dedicated to technological innovations, such as the integration of drones, robots, and state-of-the-art digital monitoring systems, in the cultivation process. While acknowledging these advancements, the </vt:lpwstr>
  </property>
  <property fmtid="{D5CDD505-2E9C-101B-9397-08002B2CF9AE}" pid="283" name="ZOTERO_BREF_oqrrWCSvIZB8_9">
    <vt:lpwstr>review also realistically addresses the challenges and economic considerations involved in adopting cutting-edge technologies. In summary, this review not only provides a comprehensive guide to the current state of vegetable cultivation but also serves as</vt:lpwstr>
  </property>
  <property fmtid="{D5CDD505-2E9C-101B-9397-08002B2CF9AE}" pid="284" name="ZOTERO_BREF_oqrrWCSvIZB8_10">
    <vt:lpwstr> a forward-looking reference emphasizing the critical role of continuous research and the anticipation of future developments in this field.&lt;/p&gt;","container-title":"Frontiers in Plant Science","DOI":"10.3389/fpls.2024.1357153","ISSN":"1664-462X","journalA</vt:lpwstr>
  </property>
  <property fmtid="{D5CDD505-2E9C-101B-9397-08002B2CF9AE}" pid="285" name="ZOTERO_BREF_oqrrWCSvIZB8_11">
    <vt:lpwstr>bbreviation":"Front. Plant Sci.","language":"English","note":"publisher: Frontiers","source":"Frontiers","title":"Advancing horizons in vegetable cultivation: a journey from ageold practices to high-tech greenhouse cultivation—a review","title-short":"Adv</vt:lpwstr>
  </property>
  <property fmtid="{D5CDD505-2E9C-101B-9397-08002B2CF9AE}" pid="286" name="ZOTERO_BREF_oqrrWCSvIZB8_12">
    <vt:lpwstr>ancing horizons in vegetable cultivation","URL":"https://www.frontiersin.org/journals/plant-science/articles/10.3389/fpls.2024.1357153/full","volume":"15","author":[{"family":"Ahmed","given":"Nazir"},{"family":"Zhang","given":"Baige"},{"family":"Deng","gi</vt:lpwstr>
  </property>
  <property fmtid="{D5CDD505-2E9C-101B-9397-08002B2CF9AE}" pid="287" name="ZOTERO_BREF_oqrrWCSvIZB8_13">
    <vt:lpwstr>ven":"Lansheng"},{"family":"Bozdar","given":"Bilquees"},{"family":"Li","given":"Juan"},{"family":"Chachar","given":"Sadaruddin"},{"family":"Chachar","given":"Zaid"},{"family":"Jahan","given":"Itrat"},{"family":"Talpur","given":"Afifa"},{"family":"Gishkori</vt:lpwstr>
  </property>
  <property fmtid="{D5CDD505-2E9C-101B-9397-08002B2CF9AE}" pid="288" name="ZOTERO_BREF_oqrrWCSvIZB8_14">
    <vt:lpwstr>","given":"Muhammad Saleem"},{"family":"Hayat","given":"Faisal"},{"family":"Tu","given":"Panfeng"}],"accessed":{"date-parts":[["2024",12,29]]},"issued":{"date-parts":[["2024",4,15]]}}},{"id":1557,"uris":["http://zotero.org/users/9837378/items/XQWUVCAW"],"</vt:lpwstr>
  </property>
  <property fmtid="{D5CDD505-2E9C-101B-9397-08002B2CF9AE}" pid="289" name="ZOTERO_BREF_oqrrWCSvIZB8_15">
    <vt:lpwstr>itemData":{"id":1557,"type":"article-journal","abstract":"In the modern agricultural landscape, numerous challenges, such as climate change, diminishing arable lands, and the reduction of water resources, represent significant threats. The Mediterranean g</vt:lpwstr>
  </property>
  <property fmtid="{D5CDD505-2E9C-101B-9397-08002B2CF9AE}" pid="290" name="ZOTERO_BREF_oqrrWCSvIZB8_16">
    <vt:lpwstr>reenhouse farming model relies on low-input strategies to maximize both yield and quality. Its protected horticulture is essential for the year-round cultivation of high-value crops, ensuring efficient and sustainable production. In the realm of future ag</vt:lpwstr>
  </property>
  <property fmtid="{D5CDD505-2E9C-101B-9397-08002B2CF9AE}" pid="291" name="ZOTERO_BREF_oqrrWCSvIZB8_17">
    <vt:lpwstr>ricultural strategies, leveraging internet-based approaches emerges as a pivotal factor for real-time and remote control of various agricultural parameters crucial for crop growth and development. This approach has the potential to significantly optimize </vt:lpwstr>
  </property>
  <property fmtid="{D5CDD505-2E9C-101B-9397-08002B2CF9AE}" pid="292" name="ZOTERO_BREF_oqrrWCSvIZB8_18">
    <vt:lpwstr>agronomic inputs, thereby enhancing the efficiency of targeted vegetable production. The aim of the present review is to underscore the challenges related to the intensive greenhouse production systems emphasizing various strategies leading to low-input g</vt:lpwstr>
  </property>
  <property fmtid="{D5CDD505-2E9C-101B-9397-08002B2CF9AE}" pid="293" name="ZOTERO_BREF_oqrrWCSvIZB8_19">
    <vt:lpwstr>reenhouse vegetable production. The goal is to promote more sustainable and resource-efficient approaches in the cultivation of greenhouse vegetables. This review highlights several key strategies for optimizing the greenhouse environment, including effic</vt:lpwstr>
  </property>
  <property fmtid="{D5CDD505-2E9C-101B-9397-08002B2CF9AE}" pid="294" name="ZOTERO_BREF_oqrrWCSvIZB8_20">
    <vt:lpwstr>ient water management through conservation tillage, drainage water reuse, and selecting the most appropriate irrigation systems and timing. Additionally, light modulation and temperature control—using solar energy for heating and pad-and-fan systems for c</vt:lpwstr>
  </property>
  <property fmtid="{D5CDD505-2E9C-101B-9397-08002B2CF9AE}" pid="295" name="ZOTERO_BREF_oqrrWCSvIZB8_21">
    <vt:lpwstr>ooling—are crucial for enhancing both crop performance and resource efficiency. The review also explores low-input agronomical strategies, such as pest and disease control—including solarization and optimized integrated pest management (IPM)—as well as fe</vt:lpwstr>
  </property>
  <property fmtid="{D5CDD505-2E9C-101B-9397-08002B2CF9AE}" pid="296" name="ZOTERO_BREF_oqrrWCSvIZB8_22">
    <vt:lpwstr>rtilization and advanced growing techniques. These approaches are essential for sustainable greenhouse farming.","container-title":"Horticulturae","DOI":"10.3390/horticulturae10090997","ISSN":"2311-7524","issue":"9","language":"en","license":"http://creat</vt:lpwstr>
  </property>
  <property fmtid="{D5CDD505-2E9C-101B-9397-08002B2CF9AE}" pid="297" name="ZOTERO_BREF_oqrrWCSvIZB8_23">
    <vt:lpwstr>ivecommons.org/licenses/by/3.0/","note":"number: 9\npublisher: Multidisciplinary Digital Publishing Institute","page":"997","source":"www.mdpi.com","title":"Sustainable and Low-Input Techniques in Mediterranean Greenhouse Vegetable Production","volume":"1</vt:lpwstr>
  </property>
  <property fmtid="{D5CDD505-2E9C-101B-9397-08002B2CF9AE}" pid="298" name="ZOTERO_BREF_oqrrWCSvIZB8_24">
    <vt:lpwstr>0","author":[{"family":"Argento","given":"Sergio"},{"family":"Garcia","given":"Gresheen"},{"family":"Treccarichi","given":"Simone"}],"issued":{"date-parts":[["2024",9]]}}},{"id":1560,"uris":["http://zotero.org/users/9837378/items/G5S7K5F9"],"itemData":{"i</vt:lpwstr>
  </property>
  <property fmtid="{D5CDD505-2E9C-101B-9397-08002B2CF9AE}" pid="299" name="ZOTERO_BREF_oqrrWCSvIZB8_25">
    <vt:lpwstr>d":1560,"type":"article-journal","abstract":"The global human population is growing and demand for food is increasing. Global agriculture faces numerous challenges, including excessive application of synthetic pesticides, emergence of herbicide-and pestic</vt:lpwstr>
  </property>
  <property fmtid="{D5CDD505-2E9C-101B-9397-08002B2CF9AE}" pid="300" name="ZOTERO_BREF_oqrrWCSvIZB8_26">
    <vt:lpwstr>ide-resistant pathogenic microbes, and more frequent natural disasters associated with global warming. Searches for valuable endophytes have increased, with the aim of making agriculture more sustainable and environmentally friendly. Endophytic microbes a</vt:lpwstr>
  </property>
  <property fmtid="{D5CDD505-2E9C-101B-9397-08002B2CF9AE}" pid="301" name="ZOTERO_BREF_oqrrWCSvIZB8_27">
    <vt:lpwstr>re known to have a variety of beneficial effects on plants. They can effectively transfer nutrients from the soil into plants, promote plant growth and development, increase disease resistance, increase stress tolerance, prevent herbivore feeding, reduce </vt:lpwstr>
  </property>
  <property fmtid="{D5CDD505-2E9C-101B-9397-08002B2CF9AE}" pid="302" name="ZOTERO_BREF_oqrrWCSvIZB8_28">
    <vt:lpwstr>the virulence of pathogens, and inhibit the growth of rival plant species. Endophytic microbes can considerably minimize the need for agrochemicals, such as fertilizers, fungicides, bactericides, insecticides, and herbicides in the cultivation of crop pla</vt:lpwstr>
  </property>
  <property fmtid="{D5CDD505-2E9C-101B-9397-08002B2CF9AE}" pid="303" name="ZOTERO_BREF_oqrrWCSvIZB8_29">
    <vt:lpwstr>nts. This review summarizes current knowledge on the roles of endophytes focusing on their mechanisms of disease control against phytopathogens through the secretion of antimicrobial substances and volatile organic compounds, and the induction of systemic</vt:lpwstr>
  </property>
  <property fmtid="{D5CDD505-2E9C-101B-9397-08002B2CF9AE}" pid="304" name="ZOTERO_BREF_oqrrWCSvIZB8_30">
    <vt:lpwstr> resistance in plants. Additionally, the beneficial roles of these endophytes and their metabolites in the control of postharvest diseases in plants have been summarized.","container-title":"Research in Microbiology","DOI":"10.1016/j.resmic.2024.104229","</vt:lpwstr>
  </property>
  <property fmtid="{D5CDD505-2E9C-101B-9397-08002B2CF9AE}" pid="305" name="ZOTERO_BREF_oqrrWCSvIZB8_31">
    <vt:lpwstr>ISSN":"0923-2508","issue":"8","journalAbbreviation":"Research in Microbiology","page":"104229","source":"ScienceDirect","title":"Endophyte mediated biocontrol mechanisms of phytopathogens in agriculture","volume":"175","author":[{"family":"Rabbee","given"</vt:lpwstr>
  </property>
  <property fmtid="{D5CDD505-2E9C-101B-9397-08002B2CF9AE}" pid="306" name="ZOTERO_BREF_oqrrWCSvIZB8_32">
    <vt:lpwstr>:"Muhammad Fazle"},{"family":"Ali","given":"Md. Sarafat"},{"family":"Islam","given":"Md. Nurul"},{"family":"Rahman","given":"Mohammed M."},{"family":"Hasan","given":"Md. Mohidul"},{"family":"Baek","given":"Kwang-Hyun"}],"issued":{"date-parts":[["2024",11,</vt:lpwstr>
  </property>
  <property fmtid="{D5CDD505-2E9C-101B-9397-08002B2CF9AE}" pid="307" name="ZOTERO_BREF_oqrrWCSvIZB8_33">
    <vt:lpwstr>1]]}}}],"schema":"https://github.com/citation-style-language/schema/raw/master/csl-citation.json"}</vt:lpwstr>
  </property>
  <property fmtid="{D5CDD505-2E9C-101B-9397-08002B2CF9AE}" pid="308" name="ZOTERO_BREF_KUF9lOIO0uKH_1">
    <vt:lpwstr>ZOTERO_ITEM CSL_CITATION {"citationID":"J7VoU5P1","properties":{"formattedCitation":"[29], [30]","plainCitation":"[29], [30]","noteIndex":0},"citationItems":[{"id":1564,"uris":["http://zotero.org/users/9837378/items/7XG59DS5"],"itemData":{"id":1564,"type"</vt:lpwstr>
  </property>
  <property fmtid="{D5CDD505-2E9C-101B-9397-08002B2CF9AE}" pid="309" name="ZOTERO_BREF_KUF9lOIO0uKH_2">
    <vt:lpwstr>:"article-journal","abstract":"Regarding the increasing growth of the population and importance of food security, Iranian Ministry of Agriculture has prioritized and encouraged greenhouse farming products. One of the developmental challenges of greenhouse</vt:lpwstr>
  </property>
  <property fmtid="{D5CDD505-2E9C-101B-9397-08002B2CF9AE}" pid="310" name="ZOTERO_BREF_KUF9lOIO0uKH_3">
    <vt:lpwstr> farming is the current extensive use of chemical fertilizers. Importantly, as raw agricultural products are the main ingredients on the table of Iranian families (Iranians generally tend to eat fresh products), the determination of pesticide residues in </vt:lpwstr>
  </property>
  <property fmtid="{D5CDD505-2E9C-101B-9397-08002B2CF9AE}" pid="311" name="ZOTERO_BREF_KUF9lOIO0uKH_4">
    <vt:lpwstr>such products is of utmost importance. The penetration of resistant contaminants into freshwater resources can lead to detrimental effects on humans and the environment. Concerning the importance of environmental protection and the role of chemical pestic</vt:lpwstr>
  </property>
  <property fmtid="{D5CDD505-2E9C-101B-9397-08002B2CF9AE}" pid="312" name="ZOTERO_BREF_KUF9lOIO0uKH_5">
    <vt:lpwstr>ides, this study reviews the pesticides used in the agronomic sector and the associated risks of using chemicals to control pests for society, agriculture, freshwater resources, and the environment. © 2019 Pensoft Publishers. All rights reserved.","archiv</vt:lpwstr>
  </property>
  <property fmtid="{D5CDD505-2E9C-101B-9397-08002B2CF9AE}" pid="313" name="ZOTERO_BREF_KUF9lOIO0uKH_6">
    <vt:lpwstr>e":"Scopus","container-title":"Advancements in Life Sciences","issue":"2","page":"202-210","source":"Scopus","title":"Industrial pesticides and a methods assessment for the reduction of associated risks: A review","title-short":"Industrial pesticides and </vt:lpwstr>
  </property>
  <property fmtid="{D5CDD505-2E9C-101B-9397-08002B2CF9AE}" pid="314" name="ZOTERO_BREF_KUF9lOIO0uKH_7">
    <vt:lpwstr>a methods assessment for the reduction of associated risks","volume":"8","author":[{"family":"Khayatnezhad","given":"M."},{"family":"Nasehi","given":"F."}],"issued":{"date-parts":[["2021"]]}}},{"id":1562,"uris":["http://zotero.org/users/9837378/items/3QXK</vt:lpwstr>
  </property>
  <property fmtid="{D5CDD505-2E9C-101B-9397-08002B2CF9AE}" pid="315" name="ZOTERO_BREF_KUF9lOIO0uKH_8">
    <vt:lpwstr>CQQZ"],"itemData":{"id":1562,"type":"article-journal","abstract":"Biological pest control is an environmentally friendly alternative to synthetic pesticides, using organisms such as viruses, bacteria, fungi, and parasitoids. However, efficacy is variable </vt:lpwstr>
  </property>
  <property fmtid="{D5CDD505-2E9C-101B-9397-08002B2CF9AE}" pid="316" name="ZOTERO_BREF_KUF9lOIO0uKH_9">
    <vt:lpwstr>and combining different biocontrol agents could improve success rates. We conducted a systematic review of studies combining a parasitoid with an entomopathogenic microorganism, the first of its kind. We searched in Web of Science and extracted data from </vt:lpwstr>
  </property>
  <property fmtid="{D5CDD505-2E9C-101B-9397-08002B2CF9AE}" pid="317" name="ZOTERO_BREF_KUF9lOIO0uKH_10">
    <vt:lpwstr>49 publications matching the pre-defined inclusion criteria. Combinations of 36 hymenopteran parasitoids with 17 entomopathogenic microorganisms used to control 31 target pests were found. Trichogramma pretiosum and Encarsia formosa were the most frequent</vt:lpwstr>
  </property>
  <property fmtid="{D5CDD505-2E9C-101B-9397-08002B2CF9AE}" pid="318" name="ZOTERO_BREF_KUF9lOIO0uKH_11">
    <vt:lpwstr>ly studied parasitoids, while Beauveria bassiana, Metarhizium anisopliae, Lecanicillium muscarium, Bacillus thuringiensis var. kurstaki, the Spodoptera exigua multiple nucleopolyhedrovirus, and the Spodoptera frugiperda multiple nucleopolyhedrovirus were </vt:lpwstr>
  </property>
  <property fmtid="{D5CDD505-2E9C-101B-9397-08002B2CF9AE}" pid="319" name="ZOTERO_BREF_KUF9lOIO0uKH_12">
    <vt:lpwstr>the main microbial agents assessed. Out of 49 parasitoid–microorganism combinations assessed in the laboratory experiments, thirty-eight were reported as compatible and six as incompatible. Timing and dosage of biopesticides played a crucial role, with la</vt:lpwstr>
  </property>
  <property fmtid="{D5CDD505-2E9C-101B-9397-08002B2CF9AE}" pid="320" name="ZOTERO_BREF_KUF9lOIO0uKH_13">
    <vt:lpwstr>ter application and appropriate dosage minimizing adverse effects on parasitoid development. More research is needed to assess compatibility and efficacy under real-world conditions. Our review provides valuable insights for researchers and practitioners </vt:lpwstr>
  </property>
  <property fmtid="{D5CDD505-2E9C-101B-9397-08002B2CF9AE}" pid="321" name="ZOTERO_BREF_KUF9lOIO0uKH_14">
    <vt:lpwstr>to optimize the combined use of micro- and macroorganisms for effective pest control.","container-title":"Pathogens","DOI":"10.3390/pathogens12070957","ISSN":"2076-0817","issue":"7","language":"en","license":"http://creativecommons.org/licenses/by/3.0/","</vt:lpwstr>
  </property>
  <property fmtid="{D5CDD505-2E9C-101B-9397-08002B2CF9AE}" pid="322" name="ZOTERO_BREF_KUF9lOIO0uKH_15">
    <vt:lpwstr>note":"number: 7\npublisher: Multidisciplinary Digital Publishing Institute","page":"957","source":"www.mdpi.com","title":"Entomopathogens and Parasitoids Allied in Biocontrol: A Systematic Review","title-short":"Entomopathogens and Parasitoids Allied in </vt:lpwstr>
  </property>
  <property fmtid="{D5CDD505-2E9C-101B-9397-08002B2CF9AE}" pid="323" name="ZOTERO_BREF_KUF9lOIO0uKH_16">
    <vt:lpwstr>Biocontrol","volume":"12","author":[{"family":"Koller","given":"Janique"},{"family":"Sutter","given":"Louis"},{"family":"Gonthier","given":"Jérémy"},{"family":"Collatz","given":"Jana"},{"family":"Norgrove","given":"Lindsey"}],"issued":{"date-parts":[["202</vt:lpwstr>
  </property>
  <property fmtid="{D5CDD505-2E9C-101B-9397-08002B2CF9AE}" pid="324" name="ZOTERO_BREF_KUF9lOIO0uKH_17">
    <vt:lpwstr>3",7]]}}}],"schema":"https://github.com/citation-style-language/schema/raw/master/csl-citation.json"}</vt:lpwstr>
  </property>
  <property fmtid="{D5CDD505-2E9C-101B-9397-08002B2CF9AE}" pid="325" name="ZOTERO_BREF_sGzNodIxmd0f_1">
    <vt:lpwstr>ZOTERO_ITEM CSL_CITATION {"citationID":"H9vt7bzz","properties":{"formattedCitation":"[8], [24], [25], [31], [32], [33], [34], [35], [36], [37], [38], [39], [40]","plainCitation":"[8], [24], [25], [31], [32], [33], [34], [35], [36], [37], [38], [39], [40]"</vt:lpwstr>
  </property>
  <property fmtid="{D5CDD505-2E9C-101B-9397-08002B2CF9AE}" pid="326" name="ZOTERO_BREF_sGzNodIxmd0f_2">
    <vt:lpwstr>,"noteIndex":0},"citationItems":[{"id":1448,"uris":["http://zotero.org/users/9837378/items/XM7P8SER"],"itemData":{"id":1448,"type":"paper-conference","abstract":"In the last decades the reduction of protectionist regulations through international trade ag</vt:lpwstr>
  </property>
  <property fmtid="{D5CDD505-2E9C-101B-9397-08002B2CF9AE}" pid="327" name="ZOTERO_BREF_sGzNodIxmd0f_3">
    <vt:lpwstr>reements has led to a globalization of the food market. Although this has promoted the availability for the consumer of a wider variety of food products at lower prices, governments, retailers and consumers around the globe are becoming more and more conc</vt:lpwstr>
  </property>
  <property fmtid="{D5CDD505-2E9C-101B-9397-08002B2CF9AE}" pid="328" name="ZOTERO_BREF_sGzNodIxmd0f_4">
    <vt:lpwstr>erned about the safety and quality of their food products. As food is produced on a global scale, national governments and consumers have lost control over the production methods. Therefore, traceability and verification of good agricultural practices (GA</vt:lpwstr>
  </property>
  <property fmtid="{D5CDD505-2E9C-101B-9397-08002B2CF9AE}" pid="329" name="ZOTERO_BREF_sGzNodIxmd0f_5">
    <vt:lpwstr>P) is becoming very important. Apart from food safety and quality, this also involves considerations in the environmental impact and sustainability of the production and transport of the available food products. Precision agriculture and the technologies </vt:lpwstr>
  </property>
  <property fmtid="{D5CDD505-2E9C-101B-9397-08002B2CF9AE}" pid="330" name="ZOTERO_BREF_sGzNodIxmd0f_6">
    <vt:lpwstr>developed for it, including automation and robots, have high potential for reducing the environmental impact of production and for providing the necessary information for verifying the origin and compliance with GAP criteria. Apart from providing governme</vt:lpwstr>
  </property>
  <property fmtid="{D5CDD505-2E9C-101B-9397-08002B2CF9AE}" pid="331" name="ZOTERO_BREF_sGzNodIxmd0f_7">
    <vt:lpwstr>nts, retailers and consumers with the information needed to assure food quality and safety, precision agriculture technologies can also help producers to meet the GAP criteria and relief them from the administrative load related to proving compliance. In </vt:lpwstr>
  </property>
  <property fmtid="{D5CDD505-2E9C-101B-9397-08002B2CF9AE}" pid="332" name="ZOTERO_BREF_sGzNodIxmd0f_8">
    <vt:lpwstr>this paper, some novel developments in agricultural automation and their potential for food safety assurance are discussed. © 2013 Czech University of Life Sciences Prague.","archive":"Scopus","event-title":"Conference Proceeding - 5th International Confe</vt:lpwstr>
  </property>
  <property fmtid="{D5CDD505-2E9C-101B-9397-08002B2CF9AE}" pid="333" name="ZOTERO_BREF_sGzNodIxmd0f_9">
    <vt:lpwstr>rence, TAE 2013: Trends in Agricultural Engineering 2013","page":"19-24","source":"Scopus","title":"Precision agriculture technology for sustainable good agricultural practice","author":[{"family":"Saeys","given":"W."},{"family":"De Baerdemaeker","given":</vt:lpwstr>
  </property>
  <property fmtid="{D5CDD505-2E9C-101B-9397-08002B2CF9AE}" pid="334" name="ZOTERO_BREF_sGzNodIxmd0f_10">
    <vt:lpwstr>"J."}],"issued":{"date-parts":[["2013"]]}}},{"id":1548,"uris":["http://zotero.org/users/9837378/items/MQ59WITR"],"itemData":{"id":1548,"type":"article-journal","abstract":"Hydroponics is a soilless farming technique that has emerged as a sustainable alter</vt:lpwstr>
  </property>
  <property fmtid="{D5CDD505-2E9C-101B-9397-08002B2CF9AE}" pid="335" name="ZOTERO_BREF_sGzNodIxmd0f_11">
    <vt:lpwstr>native. However, new technologies such as Industry 4.0, the internet of things (IoT), and artificial intelligence are needed to keep up with issues related to economics, automation, and social challenges in hydroponics farming. One significant issue is op</vt:lpwstr>
  </property>
  <property fmtid="{D5CDD505-2E9C-101B-9397-08002B2CF9AE}" pid="336" name="ZOTERO_BREF_sGzNodIxmd0f_12">
    <vt:lpwstr>timizing growth parameters to identify the best conditions for growing fruits and vegetables. These parameters include pH, total dissolved solids (TDS), electrical conductivity (EC), light intensity, daily light integral (DLI), and nutrient solution/ambie</vt:lpwstr>
  </property>
  <property fmtid="{D5CDD505-2E9C-101B-9397-08002B2CF9AE}" pid="337" name="ZOTERO_BREF_sGzNodIxmd0f_13">
    <vt:lpwstr>nt temperature and humidity. To address these challenges, a systematic literature review was conducted aiming to answer research questions regarding the optimal growth parameters for leafy green vegetables and herbs and spices grown in hydroponic systems.</vt:lpwstr>
  </property>
  <property fmtid="{D5CDD505-2E9C-101B-9397-08002B2CF9AE}" pid="338" name="ZOTERO_BREF_sGzNodIxmd0f_14">
    <vt:lpwstr> The review selected a total of 131 papers related to indoor farming, hydroponics, and aquaponics. The review selected a total of 123 papers related to indoor farming, hydroponics, and aquaponics. The majority of the articles focused on technology descrip</vt:lpwstr>
  </property>
  <property fmtid="{D5CDD505-2E9C-101B-9397-08002B2CF9AE}" pid="339" name="ZOTERO_BREF_sGzNodIxmd0f_15">
    <vt:lpwstr>tion (38.5%), artificial illumination (26.2%), and nutrient solution composition/parameters (13.8%). Additionally, remaining 10.7% articles focused on the application of sensors, slope, environment and economy. This comprehensive review provides valuable </vt:lpwstr>
  </property>
  <property fmtid="{D5CDD505-2E9C-101B-9397-08002B2CF9AE}" pid="340" name="ZOTERO_BREF_sGzNodIxmd0f_16">
    <vt:lpwstr>information on optimized growth parameters for smart hydroponic systems and explores future prospects and the application of digital technologies in this field. © 2024 by the authors.","archive":"Scopus","container-title":"AI (Switzerland)","DOI":"10.3390</vt:lpwstr>
  </property>
  <property fmtid="{D5CDD505-2E9C-101B-9397-08002B2CF9AE}" pid="341" name="ZOTERO_BREF_sGzNodIxmd0f_17">
    <vt:lpwstr>/ai5030073","issue":"3","page":"1517-1533","source":"Scopus","title":"A Systematic Literature Review on Parameters Optimization for Smart Hydroponic Systems","volume":"5","author":[{"family":"Shareef","given":"U."},{"family":"Rehman","given":"A.U."},{"fam</vt:lpwstr>
  </property>
  <property fmtid="{D5CDD505-2E9C-101B-9397-08002B2CF9AE}" pid="342" name="ZOTERO_BREF_sGzNodIxmd0f_18">
    <vt:lpwstr>ily":"Ahmad","given":"R."}],"issued":{"date-parts":[["2024"]]}}},{"id":1551,"uris":["http://zotero.org/users/9837378/items/CQHH2NIA"],"itemData":{"id":1551,"type":"article-journal","abstract":"The Internet of Things (IoT) is the basis of smart agriculture</vt:lpwstr>
  </property>
  <property fmtid="{D5CDD505-2E9C-101B-9397-08002B2CF9AE}" pid="343" name="ZOTERO_BREF_sGzNodIxmd0f_19">
    <vt:lpwstr> technology since it connects all aspects of intelligent systems in other industries and agricultural applications. The current farming methods are sufficient to supply adequate food in the future due to the fast-expanding global population. Smart farming</vt:lpwstr>
  </property>
  <property fmtid="{D5CDD505-2E9C-101B-9397-08002B2CF9AE}" pid="344" name="ZOTERO_BREF_sGzNodIxmd0f_20">
    <vt:lpwstr> aims to increase farm output and efficiency by leveraging state-of-the-art information technologies. The present study of IoT in agriculture was discussed in this review paper by studying significant literature, new techniques, protocols, challenges, iss</vt:lpwstr>
  </property>
  <property fmtid="{D5CDD505-2E9C-101B-9397-08002B2CF9AE}" pid="345" name="ZOTERO_BREF_sGzNodIxmd0f_21">
    <vt:lpwstr>ues, and potential paths for IoT-based smart farming. The soil-free technique connected to the hydroponic and aeroponic methods, known as soilless cultivation, is an alternative technology that can adapt well to such circumstances. The aeroponics method o</vt:lpwstr>
  </property>
  <property fmtid="{D5CDD505-2E9C-101B-9397-08002B2CF9AE}" pid="346" name="ZOTERO_BREF_sGzNodIxmd0f_22">
    <vt:lpwstr>ffers more advantages regarding faster plant development, increased productivity, and better nutrient absorption. Moreover, several methods and their measures used in aeroponics system using IoT devices were discussed. © 2024","archive":"Scopus","containe</vt:lpwstr>
  </property>
  <property fmtid="{D5CDD505-2E9C-101B-9397-08002B2CF9AE}" pid="347" name="ZOTERO_BREF_sGzNodIxmd0f_23">
    <vt:lpwstr>r-title":"Computer Science Review","DOI":"10.1016/j.cosrev.2024.100694","source":"Scopus","title":"A comprehensive review on current issues and advancements of Internet of Things in precision agriculture","volume":"55","author":[{"family":"Dhanasekar","gi</vt:lpwstr>
  </property>
  <property fmtid="{D5CDD505-2E9C-101B-9397-08002B2CF9AE}" pid="348" name="ZOTERO_BREF_sGzNodIxmd0f_24">
    <vt:lpwstr>ven":"S."}],"issued":{"date-parts":[["2025"]]}}},{"id":1471,"uris":["http://zotero.org/users/9837378/items/XU9WPNYF"],"itemData":{"id":1471,"type":"article-journal","archive":"Scopus","container-title":"Communications of the ACM","DOI":"10.1145/3653327","</vt:lpwstr>
  </property>
  <property fmtid="{D5CDD505-2E9C-101B-9397-08002B2CF9AE}" pid="349" name="ZOTERO_BREF_sGzNodIxmd0f_25">
    <vt:lpwstr>issue":"8","page":"93-94","source":"Scopus","title":"Scalable Technological Architecture Empowers Small-Scale Smart Farming Solutions","volume":"67","author":[{"family":"Brenes","given":"J.A."},{"family":"Marín-Raventós","given":"G."}],"issued":{"date-par</vt:lpwstr>
  </property>
  <property fmtid="{D5CDD505-2E9C-101B-9397-08002B2CF9AE}" pid="350" name="ZOTERO_BREF_sGzNodIxmd0f_26">
    <vt:lpwstr>ts":[["2024"]]}}},{"id":1477,"uris":["http://zotero.org/users/9837378/items/5Z7XX3L7"],"itemData":{"id":1477,"type":"article-journal","abstract":"Decision support systems for agriculture allow to optimize crop processes by using the least amount of resour</vt:lpwstr>
  </property>
  <property fmtid="{D5CDD505-2E9C-101B-9397-08002B2CF9AE}" pid="351" name="ZOTERO_BREF_sGzNodIxmd0f_27">
    <vt:lpwstr>ces (land, water and fertilizers). In this study, we characterized decision support systems that use artificial intelligence (AI) techniques for precision agriculture processes. To this aim, a systematic literature mapping was carried out where 39 primary</vt:lpwstr>
  </property>
  <property fmtid="{D5CDD505-2E9C-101B-9397-08002B2CF9AE}" pid="352" name="ZOTERO_BREF_sGzNodIxmd0f_28">
    <vt:lpwstr> studies were identified. Studies were analyzed based on the AI techniques used, the reported input variables, outputs, type of processing, and solution evaluation. A total of 12 artificial intelligence techniques and 73 input variables were identified, w</vt:lpwstr>
  </property>
  <property fmtid="{D5CDD505-2E9C-101B-9397-08002B2CF9AE}" pid="353" name="ZOTERO_BREF_sGzNodIxmd0f_29">
    <vt:lpwstr>ith climate variables being the most used. In addition, it was evidenced that 57% of the solutions (18) automate the process through the use of actuators, while only 17% (6) offer recommendations to farmers. © 2020, Associacao Iberica de Sistemas e Tecnol</vt:lpwstr>
  </property>
  <property fmtid="{D5CDD505-2E9C-101B-9397-08002B2CF9AE}" pid="354" name="ZOTERO_BREF_sGzNodIxmd0f_30">
    <vt:lpwstr>ogias de Informacao. All rights reserved.","archive":"Scopus","container-title":"RISTI - Revista Iberica de Sistemas e Tecnologias de Informacao","issue":"E28","page":"217-229","source":"Scopus","title":"Decision support systems that use artificial intell</vt:lpwstr>
  </property>
  <property fmtid="{D5CDD505-2E9C-101B-9397-08002B2CF9AE}" pid="355" name="ZOTERO_BREF_sGzNodIxmd0f_31">
    <vt:lpwstr>igence for precision agriculture: A systematic literature mapping","title-short":"Sistemas de apoyo a la toma de decisiones que usan inteligencia artificial en la agricultura de precisión: Un mapeo sistemático de literatura","volume":"2020","author":[{"fa</vt:lpwstr>
  </property>
  <property fmtid="{D5CDD505-2E9C-101B-9397-08002B2CF9AE}" pid="356" name="ZOTERO_BREF_sGzNodIxmd0f_32">
    <vt:lpwstr>mily":"Brenes","given":"J.A."},{"family":"Martínez","given":"A."},{"family":"Quesada-López","given":"C."},{"family":"Jenkins","given":"M."}],"issued":{"date-parts":[["2020"]]}}},{"id":1362,"uris":["http://zotero.org/users/9837378/items/89P32J37"],"itemDat</vt:lpwstr>
  </property>
  <property fmtid="{D5CDD505-2E9C-101B-9397-08002B2CF9AE}" pid="357" name="ZOTERO_BREF_sGzNodIxmd0f_33">
    <vt:lpwstr>a":{"id":1362,"type":"article-journal","abstract":"As digitalization in the agricultural sector has intensified, the number of studies addressing adoption and use of digital technologies in crop production and livestock farming has also increased. However</vt:lpwstr>
  </property>
  <property fmtid="{D5CDD505-2E9C-101B-9397-08002B2CF9AE}" pid="358" name="ZOTERO_BREF_sGzNodIxmd0f_34">
    <vt:lpwstr>, digitalization trends in the context of small-scale farming have mainly been excluded from such studies. The focus of this paper is on investigating the sequential adoption of precision agriculture (PA) and other digital technologies, and the use of mul</vt:lpwstr>
  </property>
  <property fmtid="{D5CDD505-2E9C-101B-9397-08002B2CF9AE}" pid="359" name="ZOTERO_BREF_sGzNodIxmd0f_35">
    <vt:lpwstr>tiple technologies in a small-scale agricultural region in southern Germany. An online survey of farmers yielded a total of 2,390 observations, of which 1,820 operate in field farming, and 1,376 were livestock farmers. A heuristic approach was deployed to</vt:lpwstr>
  </property>
  <property fmtid="{D5CDD505-2E9C-101B-9397-08002B2CF9AE}" pid="360" name="ZOTERO_BREF_sGzNodIxmd0f_36">
    <vt:lpwstr> identify adoption patterns. Probable multiple uses of 30 digital farming technologies and decision-support applications, as well as potential trends of sequential technology adoption were analyzed for four sequential points of adoption (entry technology,</vt:lpwstr>
  </property>
  <property fmtid="{D5CDD505-2E9C-101B-9397-08002B2CF9AE}" pid="361" name="ZOTERO_BREF_sGzNodIxmd0f_37">
    <vt:lpwstr> currently used technologies, and planned short-term and mid-term investments). Results show that Bavarian farmers cannot be described as exceedingly digitalized but show potential adoption rates of 15–20% within the next five years for technologies such </vt:lpwstr>
  </property>
  <property fmtid="{D5CDD505-2E9C-101B-9397-08002B2CF9AE}" pid="362" name="ZOTERO_BREF_sGzNodIxmd0f_38">
    <vt:lpwstr>as barn robotics, section control, variable-rate applications, and maps from satellite data. Established use of entry technologies (e.g., automatic milking systems, digital field records, automatic steering systems) increased the probability of adoption o</vt:lpwstr>
  </property>
  <property fmtid="{D5CDD505-2E9C-101B-9397-08002B2CF9AE}" pid="363" name="ZOTERO_BREF_sGzNodIxmd0f_39">
    <vt:lpwstr>f additional technologies. Among the most used technologies, the current focus is on user-friendly automation solutions that reduce farmers’ workload. Identifying current equipment and technology trends in small-scale agriculture is essential to strengthe</vt:lpwstr>
  </property>
  <property fmtid="{D5CDD505-2E9C-101B-9397-08002B2CF9AE}" pid="364" name="ZOTERO_BREF_sGzNodIxmd0f_40">
    <vt:lpwstr>n policy efforts to promote digitalization.","container-title":"Precision Agriculture","DOI":"10.1007/s11119-022-09931-1","ISSN":"1573-1618","issue":"1","journalAbbreviation":"Precision Agric","language":"en","page":"68-91","source":"Springer Link","title</vt:lpwstr>
  </property>
  <property fmtid="{D5CDD505-2E9C-101B-9397-08002B2CF9AE}" pid="365" name="ZOTERO_BREF_sGzNodIxmd0f_41">
    <vt:lpwstr>":"Adoption of digital technologies in agriculture—an inventory in a european small-scale farming region","volume":"24","author":[{"family":"Gabriel","given":"Andreas"},{"family":"Gandorfer","given":"Markus"}],"issued":{"date-parts":[["2023",2,1]]}}},{"id</vt:lpwstr>
  </property>
  <property fmtid="{D5CDD505-2E9C-101B-9397-08002B2CF9AE}" pid="366" name="ZOTERO_BREF_sGzNodIxmd0f_42">
    <vt:lpwstr>":1360,"uris":["http://zotero.org/users/9837378/items/N43EQYJK"],"itemData":{"id":1360,"type":"article-journal","abstract":"The agri-food industry faces a great challenge due to the growing global population. When considering land scarcity, this can be so</vt:lpwstr>
  </property>
  <property fmtid="{D5CDD505-2E9C-101B-9397-08002B2CF9AE}" pid="367" name="ZOTERO_BREF_sGzNodIxmd0f_43">
    <vt:lpwstr>lved only by a higher production efficiency. Precision agriculture (PA) provides a potential answer. Most farms, especially in developing countries, are small-scale units that have difficulties in applying precision agriculture technologies. On the basis </vt:lpwstr>
  </property>
  <property fmtid="{D5CDD505-2E9C-101B-9397-08002B2CF9AE}" pid="368" name="ZOTERO_BREF_sGzNodIxmd0f_44">
    <vt:lpwstr>of the systematically selected articles, major benefits and constraints were identified, and solutions were provided. Due to the low economic performance of smallholdings, (demonstrated) economic benefits are essential; however, it should be added that PA</vt:lpwstr>
  </property>
  <property fmtid="{D5CDD505-2E9C-101B-9397-08002B2CF9AE}" pid="369" name="ZOTERO_BREF_sGzNodIxmd0f_45">
    <vt:lpwstr> also provides potential environmental benefits. The five main constraints of precision agriculture technologies at the small-scale level are small land size, high cost of adoption, technology-related difficulties, lack of professional support and lack of</vt:lpwstr>
  </property>
  <property fmtid="{D5CDD505-2E9C-101B-9397-08002B2CF9AE}" pid="370" name="ZOTERO_BREF_sGzNodIxmd0f_46">
    <vt:lpwstr> supporting policy. The solutions provided by the literature are various, including, among others, joint/collective actions, zone delineation/field boundary detection, cooperation-cooperatives; low-cost technology, common machinery usage; education, (comm</vt:lpwstr>
  </property>
  <property fmtid="{D5CDD505-2E9C-101B-9397-08002B2CF9AE}" pid="371" name="ZOTERO_BREF_sGzNodIxmd0f_47">
    <vt:lpwstr>on) knowledge, use of standards, simple and user-friendly technology; professional support of vendors, advisors, agricultural contractor services; and policy-initiated investments and adequate regulations, respectively. Lower cost, modular technologies ca</vt:lpwstr>
  </property>
  <property fmtid="{D5CDD505-2E9C-101B-9397-08002B2CF9AE}" pid="372" name="ZOTERO_BREF_sGzNodIxmd0f_48">
    <vt:lpwstr>n help to accelerate PA uptake.","container-title":"Precision Agriculture","DOI":"10.1007/s11119-022-09934-y","ISSN":"1573-1618","issue":"1","journalAbbreviation":"Precision Agric","language":"en","page":"384-406","source":"Springer Link","title":"How can</vt:lpwstr>
  </property>
  <property fmtid="{D5CDD505-2E9C-101B-9397-08002B2CF9AE}" pid="373" name="ZOTERO_BREF_sGzNodIxmd0f_49">
    <vt:lpwstr> precision farming work on a small scale? A systematic literature review","title-short":"How can precision farming work on a small scale?","volume":"24","author":[{"family":"Mizik","given":"Tamás"}],"issued":{"date-parts":[["2023",2,1]]}}},{"id":1337,"uri</vt:lpwstr>
  </property>
  <property fmtid="{D5CDD505-2E9C-101B-9397-08002B2CF9AE}" pid="374" name="ZOTERO_BREF_sGzNodIxmd0f_50">
    <vt:lpwstr>s":["http://zotero.org/users/9837378/items/I4RYXHHN"],"itemData":{"id":1337,"type":"article","abstract":"In this paper two IoT systems for smart and efficient irrigation management are proposed. The first one is based on Reinforcement Learning modeled thr</vt:lpwstr>
  </property>
  <property fmtid="{D5CDD505-2E9C-101B-9397-08002B2CF9AE}" pid="375" name="ZOTERO_BREF_sGzNodIxmd0f_51">
    <vt:lpwstr>ough a Markov Decision Process method and the second one is based on a Fuzzy Logic approach. Proposed systems have been compared in order to show their performance and which of them can be more effective in providing a better water usage and energy saving</vt:lpwstr>
  </property>
  <property fmtid="{D5CDD505-2E9C-101B-9397-08002B2CF9AE}" pid="376" name="ZOTERO_BREF_sGzNodIxmd0f_52">
    <vt:lpwstr>. These two approaches are able to provide automatic and dynamic irrigation supporting farmers in crops management. A farmer-friendly user interface, which provides field information to monitor and control the overall system on own devices like smartphone</vt:lpwstr>
  </property>
  <property fmtid="{D5CDD505-2E9C-101B-9397-08002B2CF9AE}" pid="377" name="ZOTERO_BREF_sGzNodIxmd0f_53">
    <vt:lpwstr>, tablet, notebook has been also proposed. Both reinforcement learning and fuzzy logic based systems meet the requirements of saving water consumption that has become more urgent considering that climate change could lead to water scarcity in the future. </vt:lpwstr>
  </property>
  <property fmtid="{D5CDD505-2E9C-101B-9397-08002B2CF9AE}" pid="378" name="ZOTERO_BREF_sGzNodIxmd0f_54">
    <vt:lpwstr>Systems have been implemented using IoT sensors, Raspberry Pi and Arduino devices, in order to control water pumps on the basis of two important parameters: soil moisture and evapotranspiration. Performance evaluation has been led out considering water an</vt:lpwstr>
  </property>
  <property fmtid="{D5CDD505-2E9C-101B-9397-08002B2CF9AE}" pid="379" name="ZOTERO_BREF_sGzNodIxmd0f_55">
    <vt:lpwstr>d energy consumption.","DOI":"10.2139/ssrn.4149708","event-place":"Rochester, NY","genre":"SSRN Scholarly Paper","language":"en","number":"4149708","publisher-place":"Rochester, NY","source":"Social Science Research Network","title":"Exploiting Ai in Iot </vt:lpwstr>
  </property>
  <property fmtid="{D5CDD505-2E9C-101B-9397-08002B2CF9AE}" pid="380" name="ZOTERO_BREF_sGzNodIxmd0f_56">
    <vt:lpwstr>Smart Irrigation Management System: Reinforcement Learning vs Fuzzy Logic Models","title-short":"Exploiting Ai in Iot Smart Irrigation Management System","URL":"https://papers.ssrn.com/abstract=4149708","author":[{"family":"Tropea","given":"Mauro"},{"fami</vt:lpwstr>
  </property>
  <property fmtid="{D5CDD505-2E9C-101B-9397-08002B2CF9AE}" pid="381" name="ZOTERO_BREF_sGzNodIxmd0f_57">
    <vt:lpwstr>ly":"Campoverde","given":"Luis Miguel Samaniego"},{"family":"De Rango","given":"Floriano"}],"accessed":{"date-parts":[["2024",9,21]]},"issued":{"date-parts":[["2022",6,29]]}}},{"id":1451,"uris":["http://zotero.org/users/9837378/items/2GIXYAGF"],"itemData"</vt:lpwstr>
  </property>
  <property fmtid="{D5CDD505-2E9C-101B-9397-08002B2CF9AE}" pid="382" name="ZOTERO_BREF_sGzNodIxmd0f_58">
    <vt:lpwstr>:{"id":1451,"type":"article-journal","abstract":"Agriculture plays a significant role in food security and forms the backbone of the economic system of a country. The increase in population has led to an urgent need to balance demand and supply, threateni</vt:lpwstr>
  </property>
  <property fmtid="{D5CDD505-2E9C-101B-9397-08002B2CF9AE}" pid="383" name="ZOTERO_BREF_sGzNodIxmd0f_59">
    <vt:lpwstr>ng sustainability and putting pressure on agricultural systems. Furthermore, climate change challenges like extreme weather conditions, climatic changes, and environmental impact have adversely impacted agriculture and linked resources. Besides this, abou</vt:lpwstr>
  </property>
  <property fmtid="{D5CDD505-2E9C-101B-9397-08002B2CF9AE}" pid="384" name="ZOTERO_BREF_sGzNodIxmd0f_60">
    <vt:lpwstr>t 85% of Indian farmers are marginal and small landholders. About 60% of the net sown area is under rainfed agriculture, and this makes India vulnerable to climate change considerably affecting the cropping system, livestock, and soil and increasing pests</vt:lpwstr>
  </property>
  <property fmtid="{D5CDD505-2E9C-101B-9397-08002B2CF9AE}" pid="385" name="ZOTERO_BREF_sGzNodIxmd0f_61">
    <vt:lpwstr> and diseases. Climate change would have a serious impact on Indian agriculture in the coming years which would negatively impact some important crops leading to food insecurity. The present trend and scenario are evident that without an efficient measure</vt:lpwstr>
  </property>
  <property fmtid="{D5CDD505-2E9C-101B-9397-08002B2CF9AE}" pid="386" name="ZOTERO_BREF_sGzNodIxmd0f_62">
    <vt:lpwstr>, it would be very difficult to meet agro-demand of the country. Therefore, there is an urgent need of efficient measures of adaption and mitigation. Therefore, smart agriculture using IoT (Internet of Things) technology has opened up extremely productive</vt:lpwstr>
  </property>
  <property fmtid="{D5CDD505-2E9C-101B-9397-08002B2CF9AE}" pid="387" name="ZOTERO_BREF_sGzNodIxmd0f_63">
    <vt:lpwstr> ways for farmers, helps in managing agricultural systems, and deals with weather uncertainties and challenges improving resource management. It enables farmers to collect real-time data related to weather updates, irrigation, production, yield quality, a</vt:lpwstr>
  </property>
  <property fmtid="{D5CDD505-2E9C-101B-9397-08002B2CF9AE}" pid="388" name="ZOTERO_BREF_sGzNodIxmd0f_64">
    <vt:lpwstr>nd soil moisture and predict pest, diseases, and market information and strengthen good agricultural practices in farms. Additionally, IoT solutions along with smart practices in agriculture offer opportunities for innovation in climate adaptation reducin</vt:lpwstr>
  </property>
  <property fmtid="{D5CDD505-2E9C-101B-9397-08002B2CF9AE}" pid="389" name="ZOTERO_BREF_sGzNodIxmd0f_65">
    <vt:lpwstr>g the ecological footprints and enhancing the livelihoods of farmers. Thus, the present paper aims to review the current and future trends of IoT in the Indian agriculture system, highlighting potential challenges and also its role in combating climate ch</vt:lpwstr>
  </property>
  <property fmtid="{D5CDD505-2E9C-101B-9397-08002B2CF9AE}" pid="390" name="ZOTERO_BREF_sGzNodIxmd0f_66">
    <vt:lpwstr>ange. Additionally, the study recommends adoption of good agricultural practices, capacity building, and switching from traditional to precise farming with IoT-based technology. For future scope, institutional innovations, networking of farmers, regulator</vt:lpwstr>
  </property>
  <property fmtid="{D5CDD505-2E9C-101B-9397-08002B2CF9AE}" pid="391" name="ZOTERO_BREF_sGzNodIxmd0f_67">
    <vt:lpwstr>y authorities, clear policies supporting the necessary legal and market architecture for smart farming, and transparent data management system will be required. © 2023, The Author(s), under exclusive license to Springer Nature Switzerland AG.","archive":"</vt:lpwstr>
  </property>
  <property fmtid="{D5CDD505-2E9C-101B-9397-08002B2CF9AE}" pid="392" name="ZOTERO_BREF_sGzNodIxmd0f_68">
    <vt:lpwstr>Scopus","container-title":"Springer Climate","DOI":"10.1007/978-3-031-19059-9_19","page":"469-482","source":"Scopus","title":"Toward Smart Agriculture for Climate Change Adaptation","author":[{"family":"Devi","given":"R.M."}],"issued":{"date-parts":[["202</vt:lpwstr>
  </property>
  <property fmtid="{D5CDD505-2E9C-101B-9397-08002B2CF9AE}" pid="393" name="ZOTERO_BREF_sGzNodIxmd0f_69">
    <vt:lpwstr>3"]]}}},{"id":1336,"uris":["http://zotero.org/users/9837378/items/6SICK2XI"],"itemData":{"id":1336,"type":"article-journal","container-title":"Smart Agricultural Technology","DOI":"10.1016/j.atech.2024.100512","ISSN":"27723755","journalAbbreviation":"Smar</vt:lpwstr>
  </property>
  <property fmtid="{D5CDD505-2E9C-101B-9397-08002B2CF9AE}" pid="394" name="ZOTERO_BREF_sGzNodIxmd0f_70">
    <vt:lpwstr>t Agricultural Technology","language":"en","page":"100512","source":"DOI.org (Crossref)","title":"Current applications and potential future directions of reinforcement learning-based Digital Twins in agriculture","volume":"8","author":[{"family":"Goldenit</vt:lpwstr>
  </property>
  <property fmtid="{D5CDD505-2E9C-101B-9397-08002B2CF9AE}" pid="395" name="ZOTERO_BREF_sGzNodIxmd0f_71">
    <vt:lpwstr>s","given":"Georg"},{"family":"Mallinger","given":"Kevin"},{"family":"Raubitzek","given":"Sebastian"},{"family":"Neubauer","given":"Thomas"}],"issued":{"date-parts":[["2024",8]]}}},{"id":1403,"uris":["http://zotero.org/users/9837378/items/ME65I543"],"item</vt:lpwstr>
  </property>
  <property fmtid="{D5CDD505-2E9C-101B-9397-08002B2CF9AE}" pid="396" name="ZOTERO_BREF_sGzNodIxmd0f_72">
    <vt:lpwstr>Data":{"id":1403,"type":"article-journal","abstract":"Irrigation refers to supplying water to soil through pipes, pumps, and spraying systems to ensure even distribution across the field. In traditional farming or gardening, the setup and usage of an agri</vt:lpwstr>
  </property>
  <property fmtid="{D5CDD505-2E9C-101B-9397-08002B2CF9AE}" pid="397" name="ZOTERO_BREF_sGzNodIxmd0f_73">
    <vt:lpwstr>cultural irrigation system solely rely on the personal experience of farmers. The Food and Agriculture Organization of the United Nations (UN) has projected that by 2030, developing countries will expand their irrigated areas by 34%, while water consumpti</vt:lpwstr>
  </property>
  <property fmtid="{D5CDD505-2E9C-101B-9397-08002B2CF9AE}" pid="398" name="ZOTERO_BREF_sGzNodIxmd0f_74">
    <vt:lpwstr>on will only be up 14%. This discrepancy highlights the importance of accurately monitoring water flow and volume rather than people’s rough estimations. The smart irrigation systems, a key subsystem of smart agriculture known as the cyber–physical system</vt:lpwstr>
  </property>
  <property fmtid="{D5CDD505-2E9C-101B-9397-08002B2CF9AE}" pid="399" name="ZOTERO_BREF_sGzNodIxmd0f_75">
    <vt:lpwstr> (CPS) in the agriculture domain, automate the administration of water flow, volume, and timing via using cutting-edge technologies, especially the Internet of Things (IoT) technology, to solve the challenges. This study explores a comprehensive three-dim</vt:lpwstr>
  </property>
  <property fmtid="{D5CDD505-2E9C-101B-9397-08002B2CF9AE}" pid="400" name="ZOTERO_BREF_sGzNodIxmd0f_76">
    <vt:lpwstr>ensional problem space to thoroughly analyze the IoT’s applications in irrigation systems. Our framework encompasses several critical domains in smart irrigation systems. These domains include soil science, sensor technology, communication protocols, data</vt:lpwstr>
  </property>
  <property fmtid="{D5CDD505-2E9C-101B-9397-08002B2CF9AE}" pid="401" name="ZOTERO_BREF_sGzNodIxmd0f_77">
    <vt:lpwstr> analysis techniques, and the practical implementations of automated irrigation systems, such as remote monitoring, autonomous operation, and intelligent decision-making processes. Finally, we discuss a few challenges and outline future research direction</vt:lpwstr>
  </property>
  <property fmtid="{D5CDD505-2E9C-101B-9397-08002B2CF9AE}" pid="402" name="ZOTERO_BREF_sGzNodIxmd0f_78">
    <vt:lpwstr>s in this promising field.","container-title":"Future Internet","DOI":"10.3390/fi16070234","ISSN":"1999-5903","issue":"7","language":"en","license":"http://creativecommons.org/licenses/by/3.0/","note":"number: 7\npublisher: Multidisciplinary Digital Publi</vt:lpwstr>
  </property>
  <property fmtid="{D5CDD505-2E9C-101B-9397-08002B2CF9AE}" pid="403" name="ZOTERO_BREF_sGzNodIxmd0f_79">
    <vt:lpwstr>shing Institute","page":"234","source":"www.mdpi.com","title":"Smart Irrigation Systems from Cyber–Physical Perspective: State of Art and Future Directions","title-short":"Smart Irrigation Systems from Cyber–Physical Perspective","volume":"16","author":[{</vt:lpwstr>
  </property>
  <property fmtid="{D5CDD505-2E9C-101B-9397-08002B2CF9AE}" pid="404" name="ZOTERO_BREF_sGzNodIxmd0f_80">
    <vt:lpwstr>"family":"Qian","given":"Mian"},{"family":"Qian","given":"Cheng"},{"family":"Xu","given":"Guobin"},{"family":"Tian","given":"Pu"},{"family":"Yu","given":"Wei"}],"issued":{"date-parts":[["2024",7]]}}},{"id":1342,"uris":["http://zotero.org/users/9837378/ite</vt:lpwstr>
  </property>
  <property fmtid="{D5CDD505-2E9C-101B-9397-08002B2CF9AE}" pid="405" name="ZOTERO_BREF_sGzNodIxmd0f_81">
    <vt:lpwstr>ms/86XN7PPR"],"itemData":{"id":1342,"type":"article-journal","abstract":"Digital Twins are very promising to bring smart farming to new levels of farming productivity and sustainability. A Digital Twin is a digital equivalent of a real-life object of whic</vt:lpwstr>
  </property>
  <property fmtid="{D5CDD505-2E9C-101B-9397-08002B2CF9AE}" pid="406" name="ZOTERO_BREF_sGzNodIxmd0f_82">
    <vt:lpwstr>h it mirrors its behaviour and states over its lifetime in a virtual space. Using Digital Twins as a central means for farm management enables the decoupling of physical flows from its planning and control. As a consequence, farmers can manage operations </vt:lpwstr>
  </property>
  <property fmtid="{D5CDD505-2E9C-101B-9397-08002B2CF9AE}" pid="407" name="ZOTERO_BREF_sGzNodIxmd0f_83">
    <vt:lpwstr>remotely based on (near) real-time digital information instead of having to rely on direct observation and manual tasks on-site. This allows them to act immediately in case of (expected) deviations and to simulate effects of interventions based on real-li</vt:lpwstr>
  </property>
  <property fmtid="{D5CDD505-2E9C-101B-9397-08002B2CF9AE}" pid="408" name="ZOTERO_BREF_sGzNodIxmd0f_84">
    <vt:lpwstr>fe data. This paper analyses how Digital Twins can advance smart farming. It defines the concept, develops a typology of different types of Digital Twins, and proposes a conceptual framework for designing and implementing Digital Twins. The framework comp</vt:lpwstr>
  </property>
  <property fmtid="{D5CDD505-2E9C-101B-9397-08002B2CF9AE}" pid="409" name="ZOTERO_BREF_sGzNodIxmd0f_85">
    <vt:lpwstr>rises a control model based on a general systems approach and an implementation model for Digital Twin systems based on the Internet of Things—Architecture (IoT-A), a reference architecture for IoT systems. The framework is applied to and validated in fiv</vt:lpwstr>
  </property>
  <property fmtid="{D5CDD505-2E9C-101B-9397-08002B2CF9AE}" pid="410" name="ZOTERO_BREF_sGzNodIxmd0f_86">
    <vt:lpwstr>e smart farming use cases of the European IoF2020 project, focussing on arable farming, dairy farming, greenhouse horticulture, organic vegetable farming and livestock farming.","container-title":"Agricultural Systems","DOI":"10.1016/j.agsy.2020.103046","</vt:lpwstr>
  </property>
  <property fmtid="{D5CDD505-2E9C-101B-9397-08002B2CF9AE}" pid="411" name="ZOTERO_BREF_sGzNodIxmd0f_87">
    <vt:lpwstr>ISSN":"0308521X","journalAbbreviation":"Agricultural Systems","language":"en","page":"103046","source":"DOI.org (Crossref)","title":"Digital twins in smart farming","volume":"189","author":[{"family":"Verdouw","given":"Cor"},{"family":"Tekinerdogan","give</vt:lpwstr>
  </property>
  <property fmtid="{D5CDD505-2E9C-101B-9397-08002B2CF9AE}" pid="412" name="ZOTERO_BREF_sGzNodIxmd0f_88">
    <vt:lpwstr>n":"Bedir"},{"family":"Beulens","given":"Adrie"},{"family":"Wolfert","given":"Sjaak"}],"issued":{"date-parts":[["2021",4]]}}},{"id":1357,"uris":["http://zotero.org/users/9837378/items/86GRQQAQ"],"itemData":{"id":1357,"type":"article-journal","abstract":"U</vt:lpwstr>
  </property>
  <property fmtid="{D5CDD505-2E9C-101B-9397-08002B2CF9AE}" pid="413" name="ZOTERO_BREF_sGzNodIxmd0f_89">
    <vt:lpwstr>ndoubtedly, high demands for food from the world-wide growing population are impacting the environment and putting many pressures on agricultural productivity. Agriculture 4.0, as the fourth evolution in the farming technology, puts forward four essential</vt:lpwstr>
  </property>
  <property fmtid="{D5CDD505-2E9C-101B-9397-08002B2CF9AE}" pid="414" name="ZOTERO_BREF_sGzNodIxmd0f_90">
    <vt:lpwstr> requirements: increasing productivity, allocating resources reasonably, adapting to climate change, and avoiding food waste. As advanced information systems and Internet technologies are adopted in Agriculture 4.0, enormous farming data, such as meteorol</vt:lpwstr>
  </property>
  <property fmtid="{D5CDD505-2E9C-101B-9397-08002B2CF9AE}" pid="415" name="ZOTERO_BREF_sGzNodIxmd0f_91">
    <vt:lpwstr>ogical information, soil conditions, marketing demands, and land uses, can be collected, analyzed, and processed for assisting farmers in making appropriate decisions and obtaining higher profits. Therefore, agricultural decision support systems for Agric</vt:lpwstr>
  </property>
  <property fmtid="{D5CDD505-2E9C-101B-9397-08002B2CF9AE}" pid="416" name="ZOTERO_BREF_sGzNodIxmd0f_92">
    <vt:lpwstr>ulture 4.0 has become a very attractive topic for the research community. The objective of this paper aims at exploring the upcoming challenges of employing agricultural decision support systems in Agriculture 4.0. Future researchers may improve the decis</vt:lpwstr>
  </property>
  <property fmtid="{D5CDD505-2E9C-101B-9397-08002B2CF9AE}" pid="417" name="ZOTERO_BREF_sGzNodIxmd0f_93">
    <vt:lpwstr>ion support systems by overcoming these detected challenges. In this paper, the systematic literature review technique is used to survey thirteen representative decision support systems, including their applications for agricultural mission planning, wate</vt:lpwstr>
  </property>
  <property fmtid="{D5CDD505-2E9C-101B-9397-08002B2CF9AE}" pid="418" name="ZOTERO_BREF_sGzNodIxmd0f_94">
    <vt:lpwstr>r resources management, climate change adaptation, and food waste control. Each decision support system is analyzed under a systematic manner. A comprehensive evaluation is conducted from the aspects of interoperability, scalability, accessibility, usabil</vt:lpwstr>
  </property>
  <property fmtid="{D5CDD505-2E9C-101B-9397-08002B2CF9AE}" pid="419" name="ZOTERO_BREF_sGzNodIxmd0f_95">
    <vt:lpwstr>ity, etc. Based on the evaluation result, upcoming challenges are detected and summarized, suggesting the development trends and demonstrating potential improvements for future research.","container-title":"Computers and Electronics in Agriculture","DOI":</vt:lpwstr>
  </property>
  <property fmtid="{D5CDD505-2E9C-101B-9397-08002B2CF9AE}" pid="420" name="ZOTERO_BREF_sGzNodIxmd0f_96">
    <vt:lpwstr>"10.1016/j.compag.2020.105256","ISSN":"0168-1699","journalAbbreviation":"Computers and Electronics in Agriculture","page":"105256","source":"ScienceDirect","title":"Decision support systems for agriculture 4.0: Survey and challenges","title-short":"Decisi</vt:lpwstr>
  </property>
  <property fmtid="{D5CDD505-2E9C-101B-9397-08002B2CF9AE}" pid="421" name="ZOTERO_BREF_sGzNodIxmd0f_97">
    <vt:lpwstr>on support systems for agriculture 4.0","volume":"170","author":[{"family":"Zhai","given":"Zhaoyu"},{"family":"Martínez","given":"José Fernán"},{"family":"Beltran","given":"Victoria"},{"family":"Martínez","given":"Néstor Lucas"}],"issued":{"date-parts":[[</vt:lpwstr>
  </property>
  <property fmtid="{D5CDD505-2E9C-101B-9397-08002B2CF9AE}" pid="422" name="ZOTERO_BREF_sGzNodIxmd0f_98">
    <vt:lpwstr>"2020",3,1]]}}}],"schema":"https://github.com/citation-style-language/schema/raw/master/csl-citation.json"}</vt:lpwstr>
  </property>
  <property fmtid="{D5CDD505-2E9C-101B-9397-08002B2CF9AE}" pid="423" name="ZOTERO_BREF_wkpqkBnFAO5E_1">
    <vt:lpwstr>ZOTERO_ITEM CSL_CITATION {"citationID":"bIB7xs0B","properties":{"formattedCitation":"[41]","plainCitation":"[41]","noteIndex":0},"citationItems":[{"id":1567,"uris":["http://zotero.org/users/9837378/items/5S6HCRTE"],"itemData":{"id":1567,"type":"article-jo</vt:lpwstr>
  </property>
  <property fmtid="{D5CDD505-2E9C-101B-9397-08002B2CF9AE}" pid="424" name="ZOTERO_BREF_wkpqkBnFAO5E_2">
    <vt:lpwstr>urnal","abstract":"ISO 11783 is a communication protocol for tractors and implements. It specifies a network of control functions connected with a CAN bus. The task cont…","container-title":"Computers and Electronics in Agriculture","DOI":"10.1016/j.compa</vt:lpwstr>
  </property>
  <property fmtid="{D5CDD505-2E9C-101B-9397-08002B2CF9AE}" pid="425" name="ZOTERO_BREF_wkpqkBnFAO5E_3">
    <vt:lpwstr>g.2022.107475","ISSN":"0168-1699","language":"en-US","note":"publisher: Elsevier","page":"107475","source":"www.sciencedirect.com","title":"Next Generation Task Controller for agricultural Machinery using OPC Unified architecture","volume":"203","issued":</vt:lpwstr>
  </property>
  <property fmtid="{D5CDD505-2E9C-101B-9397-08002B2CF9AE}" pid="426" name="ZOTERO_BREF_wkpqkBnFAO5E_4">
    <vt:lpwstr>{"date-parts":[["2022",12,1]]}}}],"schema":"https://github.com/citation-style-language/schema/raw/master/csl-citation.json"}</vt:lpwstr>
  </property>
  <property fmtid="{D5CDD505-2E9C-101B-9397-08002B2CF9AE}" pid="427" name="ZOTERO_BREF_zedXwnrdLL56_1">
    <vt:lpwstr>ZOTERO_ITEM CSL_CITATION {"citationID":"G92YRElC","properties":{"formattedCitation":"[42], [43]","plainCitation":"[42], [43]","noteIndex":0},"citationItems":[{"id":1570,"uris":["http://zotero.org/users/9837378/items/LAYH54TI"],"itemData":{"id":1570,"type"</vt:lpwstr>
  </property>
  <property fmtid="{D5CDD505-2E9C-101B-9397-08002B2CF9AE}" pid="428" name="ZOTERO_BREF_zedXwnrdLL56_2">
    <vt:lpwstr>:"article-journal","abstract":"Acclimatization is the final stage of propagation by in vitro culture. This phase is crucial in micropropagation, as it will determine the survival of plantlets outside culture jars. This phase’s efforts should ensure optima</vt:lpwstr>
  </property>
  <property fmtid="{D5CDD505-2E9C-101B-9397-08002B2CF9AE}" pid="429" name="ZOTERO_BREF_zedXwnrdLL56_3">
    <vt:lpwstr>l conditions, including the media type. This study sought the best media for acclimating strawberry plantlets produced under meristem culture. The research employed the randomized block design, utilizing 7 various media treatments, which include husk char</vt:lpwstr>
  </property>
  <property fmtid="{D5CDD505-2E9C-101B-9397-08002B2CF9AE}" pid="430" name="ZOTERO_BREF_zedXwnrdLL56_4">
    <vt:lpwstr>coal; perlite; cocopeat; perlite + husk charcoal; soil + sand; husk charcoal + cocopeat; and perlite + cocopeat. The media mix was set at 1:1 a ratio (weight/weight), with 9 replicates. The chemical properties of the media were then analyzed, including se</vt:lpwstr>
  </property>
  <property fmtid="{D5CDD505-2E9C-101B-9397-08002B2CF9AE}" pid="431" name="ZOTERO_BREF_zedXwnrdLL56_5">
    <vt:lpwstr>veral parameters such as organic C, total N, and water content. Several parameters were observed for plantlet’s growth parameters, including plant survival rates, number of leaves per plant, average leaf area, and root fresh weight. The results found that</vt:lpwstr>
  </property>
  <property fmtid="{D5CDD505-2E9C-101B-9397-08002B2CF9AE}" pid="432" name="ZOTERO_BREF_zedXwnrdLL56_6">
    <vt:lpwstr> cocopeat was the best medium for acclimating strawberry plantlets. In cocopeat media, the plant survival rate reached 96.68%, with the leaves number of 7.67 plant-1, an average leaf area of 120.92 cm2 plant-1, and root fresh weight of 4.30 g plant-1. The</vt:lpwstr>
  </property>
  <property fmtid="{D5CDD505-2E9C-101B-9397-08002B2CF9AE}" pid="433" name="ZOTERO_BREF_zedXwnrdLL56_7">
    <vt:lpwstr>se results indicate that cocopeat is a medium derived from coconut fiber powder, a natural resource that can be renewed sustainably and produces better plant plantlet growth.","container-title":"AgriHealth: Journal of Agri-food, Nutrition and Public Healt</vt:lpwstr>
  </property>
  <property fmtid="{D5CDD505-2E9C-101B-9397-08002B2CF9AE}" pid="434" name="ZOTERO_BREF_zedXwnrdLL56_8">
    <vt:lpwstr>h","DOI":"10.20961/agrihealth.v5i2.85776","ISSN":"2722-0648","issue":"2","language":"en","license":"Copyright (c) 2024 AgriHealth: Journal of Agri-food, Nutrition and Public Health","note":"number: 2","page":"85-91","source":"jurnal.uns.ac.id","title":"A </vt:lpwstr>
  </property>
  <property fmtid="{D5CDD505-2E9C-101B-9397-08002B2CF9AE}" pid="435" name="ZOTERO_BREF_zedXwnrdLL56_9">
    <vt:lpwstr>Study of Acclimatization Media on Strawberry (Fragaria x ananassa Duch.) Plantlets Produced from Meristem Culture","volume":"5","author":[{"family":"Dwiyani","given":"Rindang"},{"family":"Fitriani","given":"Yuyun"},{"family":"Ana","given":"Francis Geren S</vt:lpwstr>
  </property>
  <property fmtid="{D5CDD505-2E9C-101B-9397-08002B2CF9AE}" pid="436" name="ZOTERO_BREF_zedXwnrdLL56_10">
    <vt:lpwstr>ta"},{"family":"Bimantara","given":"Putu Oki"}],"issued":{"date-parts":[["2024",6,27]]}}},{"id":1572,"uris":["http://zotero.org/users/9837378/items/KBZRBPCE"],"itemData":{"id":1572,"type":"webpage","title":"Watering Strawberry (Fragaria X Anannasa) Plants</vt:lpwstr>
  </property>
  <property fmtid="{D5CDD505-2E9C-101B-9397-08002B2CF9AE}" pid="437" name="ZOTERO_BREF_zedXwnrdLL56_11">
    <vt:lpwstr> in a Greenhouse Using IoT-Based Drip Irrigation | Journal of Computer Science and Technology Studies","URL":"https://al-kindipublisher.com/index.php/jcsts/article/view/3351","accessed":{"date-parts":[["2024",12,29]]}}}],"schema":"https://github.com/citat</vt:lpwstr>
  </property>
  <property fmtid="{D5CDD505-2E9C-101B-9397-08002B2CF9AE}" pid="438" name="ZOTERO_BREF_zedXwnrdLL56_12">
    <vt:lpwstr>ion-style-language/schema/raw/master/csl-citation.json"}</vt:lpwstr>
  </property>
  <property fmtid="{D5CDD505-2E9C-101B-9397-08002B2CF9AE}" pid="439" name="ZOTERO_BREF_XTFBDkvCpXfa_1">
    <vt:lpwstr>ZOTERO_ITEM CSL_CITATION {"citationID":"bhKOQ2qM","properties":{"formattedCitation":"[44]","plainCitation":"[44]","noteIndex":0},"citationItems":[{"id":1407,"uris":["http://zotero.org/users/9837378/items/3QZJUV9M"],"itemData":{"id":1407,"type":"article-jo</vt:lpwstr>
  </property>
  <property fmtid="{D5CDD505-2E9C-101B-9397-08002B2CF9AE}" pid="440" name="ZOTERO_BREF_XTFBDkvCpXfa_2">
    <vt:lpwstr>urnal","abstract":"Agricultural participants are apprehensive as the farming landscape transforms with the Internet of Things technology. Farming involves significant risk, and the addition of technology can positively or negatively impact overall operati</vt:lpwstr>
  </property>
  <property fmtid="{D5CDD505-2E9C-101B-9397-08002B2CF9AE}" pid="441" name="ZOTERO_BREF_XTFBDkvCpXfa_3">
    <vt:lpwstr>ons. This paper presents the concerns of farmers by reflecting on 32 farmer interviews and the existing literature. We have categorized these concerns as technical proficiency, need for simplicity, mistrust, reliability, psychological barriers, and value-</vt:lpwstr>
  </property>
  <property fmtid="{D5CDD505-2E9C-101B-9397-08002B2CF9AE}" pid="442" name="ZOTERO_BREF_XTFBDkvCpXfa_4">
    <vt:lpwstr>driven issues. This paper provides a holistic examination of farmers’ concerns, and recommendations that combines human perspective, policies and processes, and technology. Our recommendations address these concerns by discussing cyber security, privacy a</vt:lpwstr>
  </property>
  <property fmtid="{D5CDD505-2E9C-101B-9397-08002B2CF9AE}" pid="443" name="ZOTERO_BREF_XTFBDkvCpXfa_5">
    <vt:lpwstr>nd confidentiality, interoperability, user-centricity, policies and the public sector, and new business models. This work contributes to the ideation of new requirements for IoT technologies and policy in smart farming.","container-title":"Internet of Thi</vt:lpwstr>
  </property>
  <property fmtid="{D5CDD505-2E9C-101B-9397-08002B2CF9AE}" pid="444" name="ZOTERO_BREF_XTFBDkvCpXfa_6">
    <vt:lpwstr>ngs","DOI":"10.1016/j.iot.2023.100898","ISSN":"25426605","journalAbbreviation":"Internet of Things","language":"en","page":"100898","source":"DOI.org (Crossref)","title":"Farmer-centric design thinking principles for smart farming technologies","volume":"</vt:lpwstr>
  </property>
  <property fmtid="{D5CDD505-2E9C-101B-9397-08002B2CF9AE}" pid="445" name="ZOTERO_BREF_XTFBDkvCpXfa_7">
    <vt:lpwstr>23","author":[{"family":"McCaig","given":"Melanie"},{"family":"Dara","given":"Rozita"},{"family":"Rezania","given":"Davar"}],"issued":{"date-parts":[["2023",10]]}}}],"schema":"https://github.com/citation-style-language/schema/raw/master/csl-citation.json"</vt:lpwstr>
  </property>
  <property fmtid="{D5CDD505-2E9C-101B-9397-08002B2CF9AE}" pid="446" name="ZOTERO_BREF_XTFBDkvCpXfa_8">
    <vt:lpwstr>}</vt:lpwstr>
  </property>
  <property fmtid="{D5CDD505-2E9C-101B-9397-08002B2CF9AE}" pid="447" name="ZOTERO_BREF_Y9VAQa4Uwu6G_1">
    <vt:lpwstr>ZOTERO_ITEM CSL_CITATION {"citationID":"njBg8wfL","properties":{"formattedCitation":"[38], [45]","plainCitation":"[38], [45]","noteIndex":0},"citationItems":[{"id":1403,"uris":["http://zotero.org/users/9837378/items/ME65I543"],"itemData":{"id":1403,"type"</vt:lpwstr>
  </property>
  <property fmtid="{D5CDD505-2E9C-101B-9397-08002B2CF9AE}" pid="448" name="ZOTERO_BREF_Y9VAQa4Uwu6G_2">
    <vt:lpwstr>:"article-journal","abstract":"Irrigation refers to supplying water to soil through pipes, pumps, and spraying systems to ensure even distribution across the field. In traditional farming or gardening, the setup and usage of an agricultural irrigation sys</vt:lpwstr>
  </property>
  <property fmtid="{D5CDD505-2E9C-101B-9397-08002B2CF9AE}" pid="449" name="ZOTERO_BREF_Y9VAQa4Uwu6G_3">
    <vt:lpwstr>tem solely rely on the personal experience of farmers. The Food and Agriculture Organization of the United Nations (UN) has projected that by 2030, developing countries will expand their irrigated areas by 34%, while water consumption will only be up 14%.</vt:lpwstr>
  </property>
  <property fmtid="{D5CDD505-2E9C-101B-9397-08002B2CF9AE}" pid="450" name="ZOTERO_BREF_Y9VAQa4Uwu6G_4">
    <vt:lpwstr> This discrepancy highlights the importance of accurately monitoring water flow and volume rather than people’s rough estimations. The smart irrigation systems, a key subsystem of smart agriculture known as the cyber–physical system (CPS) in the agricultu</vt:lpwstr>
  </property>
  <property fmtid="{D5CDD505-2E9C-101B-9397-08002B2CF9AE}" pid="451" name="ZOTERO_BREF_Y9VAQa4Uwu6G_5">
    <vt:lpwstr>re domain, automate the administration of water flow, volume, and timing via using cutting-edge technologies, especially the Internet of Things (IoT) technology, to solve the challenges. This study explores a comprehensive three-dimensional problem space </vt:lpwstr>
  </property>
  <property fmtid="{D5CDD505-2E9C-101B-9397-08002B2CF9AE}" pid="452" name="ZOTERO_BREF_Y9VAQa4Uwu6G_6">
    <vt:lpwstr>to thoroughly analyze the IoT’s applications in irrigation systems. Our framework encompasses several critical domains in smart irrigation systems. These domains include soil science, sensor technology, communication protocols, data analysis techniques, a</vt:lpwstr>
  </property>
  <property fmtid="{D5CDD505-2E9C-101B-9397-08002B2CF9AE}" pid="453" name="ZOTERO_BREF_Y9VAQa4Uwu6G_7">
    <vt:lpwstr>nd the practical implementations of automated irrigation systems, such as remote monitoring, autonomous operation, and intelligent decision-making processes. Finally, we discuss a few challenges and outline future research directions in this promising fie</vt:lpwstr>
  </property>
  <property fmtid="{D5CDD505-2E9C-101B-9397-08002B2CF9AE}" pid="454" name="ZOTERO_BREF_Y9VAQa4Uwu6G_8">
    <vt:lpwstr>ld.","container-title":"Future Internet","DOI":"10.3390/fi16070234","ISSN":"1999-5903","issue":"7","language":"en","license":"http://creativecommons.org/licenses/by/3.0/","note":"number: 7\npublisher: Multidisciplinary Digital Publishing Institute","page"</vt:lpwstr>
  </property>
  <property fmtid="{D5CDD505-2E9C-101B-9397-08002B2CF9AE}" pid="455" name="ZOTERO_BREF_Y9VAQa4Uwu6G_9">
    <vt:lpwstr>:"234","source":"www.mdpi.com","title":"Smart Irrigation Systems from Cyber–Physical Perspective: State of Art and Future Directions","title-short":"Smart Irrigation Systems from Cyber–Physical Perspective","volume":"16","author":[{"family":"Qian","given"</vt:lpwstr>
  </property>
  <property fmtid="{D5CDD505-2E9C-101B-9397-08002B2CF9AE}" pid="456" name="ZOTERO_BREF_Y9VAQa4Uwu6G_10">
    <vt:lpwstr>:"Mian"},{"family":"Qian","given":"Cheng"},{"family":"Xu","given":"Guobin"},{"family":"Tian","given":"Pu"},{"family":"Yu","given":"Wei"}],"issued":{"date-parts":[["2024",7]]}}},{"id":1409,"uris":["http://zotero.org/users/9837378/items/GCLXPTSV"],"itemData</vt:lpwstr>
  </property>
  <property fmtid="{D5CDD505-2E9C-101B-9397-08002B2CF9AE}" pid="457" name="ZOTERO_BREF_Y9VAQa4Uwu6G_11">
    <vt:lpwstr>":{"id":1409,"type":"article-journal","abstract":"Recent advances in manufacturing industry has paved way for a systematical deployment of Cyber-Physical Systems (CPS), within which information from all related perspectives is closely monitored and synchr</vt:lpwstr>
  </property>
  <property fmtid="{D5CDD505-2E9C-101B-9397-08002B2CF9AE}" pid="458" name="ZOTERO_BREF_Y9VAQa4Uwu6G_12">
    <vt:lpwstr>onized between the physical factory ﬂoor and the cyber computational space. Moreover, by utilizing advanced information analytics, networked machines will be able to perform more eﬃciently, collaboratively and resiliently. Such trend is transforming manuf</vt:lpwstr>
  </property>
  <property fmtid="{D5CDD505-2E9C-101B-9397-08002B2CF9AE}" pid="459" name="ZOTERO_BREF_Y9VAQa4Uwu6G_13">
    <vt:lpwstr>acturing industry to the next generation, namely Industry 4.0. At this early development phase, there is an urgent need for a clear deﬁnition of CPS. In this paper, a uniﬁed 5-level architecture is proposed as a guideline for implementation of CPS.","cont</vt:lpwstr>
  </property>
  <property fmtid="{D5CDD505-2E9C-101B-9397-08002B2CF9AE}" pid="460" name="ZOTERO_BREF_Y9VAQa4Uwu6G_14">
    <vt:lpwstr>ainer-title":"Manufacturing Letters","DOI":"10.1016/j.mfglet.2014.12.001","ISSN":"22138463","journalAbbreviation":"Manufacturing Letters","language":"en","page":"18-23","source":"DOI.org (Crossref)","title":"A Cyber-Physical Systems architecture for Indus</vt:lpwstr>
  </property>
  <property fmtid="{D5CDD505-2E9C-101B-9397-08002B2CF9AE}" pid="461" name="ZOTERO_BREF_Y9VAQa4Uwu6G_15">
    <vt:lpwstr>try 4.0-based manufacturing systems","volume":"3","author":[{"family":"Lee","given":"Jay"},{"family":"Bagheri","given":"Behrad"},{"family":"Kao","given":"Hung-An"}],"issued":{"date-parts":[["2015",1]]}}}],"schema":"https://github.com/citation-style-langua</vt:lpwstr>
  </property>
  <property fmtid="{D5CDD505-2E9C-101B-9397-08002B2CF9AE}" pid="462" name="ZOTERO_BREF_Y9VAQa4Uwu6G_16">
    <vt:lpwstr>ge/schema/raw/master/csl-citation.json"}</vt:lpwstr>
  </property>
  <property fmtid="{D5CDD505-2E9C-101B-9397-08002B2CF9AE}" pid="463" name="ZOTERO_BREF_YzPzAMtNZ7Sw_1">
    <vt:lpwstr>ZOTERO_ITEM CSL_CITATION {"citationID":"H6cu83Iy","properties":{"formattedCitation":"[19]","plainCitation":"[19]","noteIndex":0},"citationItems":[{"id":1484,"uris":["http://zotero.org/users/9837378/items/GJNID5E7"],"itemData":{"id":1484,"type":"article-jo</vt:lpwstr>
  </property>
  <property fmtid="{D5CDD505-2E9C-101B-9397-08002B2CF9AE}" pid="464" name="ZOTERO_BREF_YzPzAMtNZ7Sw_2">
    <vt:lpwstr>urnal","abstract":"Automated systems, controlled with programmed reactive rules and set-point values for feedback regulation, require supervision and adjustment by experienced technicians. These technicians must be familiar with the scenario where the con</vt:lpwstr>
  </property>
  <property fmtid="{D5CDD505-2E9C-101B-9397-08002B2CF9AE}" pid="465" name="ZOTERO_BREF_YzPzAMtNZ7Sw_3">
    <vt:lpwstr>trolled processes are carried out. In automated greenhouses, achieving optimal environmental values requires the expertise of a specialist technician. This introduces the need for an expert in the installation and the problem of depending on them. To redu</vt:lpwstr>
  </property>
  <property fmtid="{D5CDD505-2E9C-101B-9397-08002B2CF9AE}" pid="466" name="ZOTERO_BREF_YzPzAMtNZ7Sw_4">
    <vt:lpwstr>ce these inconveniences, the integration of three paradigms is proposed: user-centered design, deployment of data capture technology based on IoT protocols, and a reinforcement learning model. The objective of the reinforcement learning model is to make d</vt:lpwstr>
  </property>
  <property fmtid="{D5CDD505-2E9C-101B-9397-08002B2CF9AE}" pid="467" name="ZOTERO_BREF_YzPzAMtNZ7Sw_5">
    <vt:lpwstr>ecisions in the programming of set-points for the climate control of a greenhouse. In this way, the need for manual and repetitive supervision of the specialized technician is reduced; meanwhile, the control is optimized. The design, led by an expert tech</vt:lpwstr>
  </property>
  <property fmtid="{D5CDD505-2E9C-101B-9397-08002B2CF9AE}" pid="468" name="ZOTERO_BREF_YzPzAMtNZ7Sw_6">
    <vt:lpwstr>nician in greenhouse installations, provides the necessary knowledge to transfer to a reinforcement learning model. On the other hand, deploying the required set of sensors and access to external data sources increases the capacity of the learning model t</vt:lpwstr>
  </property>
  <property fmtid="{D5CDD505-2E9C-101B-9397-08002B2CF9AE}" pid="469" name="ZOTERO_BREF_YzPzAMtNZ7Sw_7">
    <vt:lpwstr>o be deployed to current installations. The proposed system was tested in automated greenhouse facilities under the supervision of a specialized technician, validating the usefulness of the proposed system. © 2023, The Author(s), under exclusive license t</vt:lpwstr>
  </property>
  <property fmtid="{D5CDD505-2E9C-101B-9397-08002B2CF9AE}" pid="470" name="ZOTERO_BREF_YzPzAMtNZ7Sw_8">
    <vt:lpwstr>o Springer Nature Switzerland AG.","archive":"Scopus","container-title":"Lecture Notes in Networks and Systems","DOI":"10.1007/978-3-031-48642-5_1","page":"3-13","source":"Scopus","title":"Reinforcement Learning Model in Automated Greenhouse Control","vol</vt:lpwstr>
  </property>
  <property fmtid="{D5CDD505-2E9C-101B-9397-08002B2CF9AE}" pid="471" name="ZOTERO_BREF_YzPzAMtNZ7Sw_9">
    <vt:lpwstr>ume":"842 LNNS","author":[{"family":"Ferrández-Pastor","given":"F.J."},{"family":"Cámara-Zapata","given":"J.M."},{"family":"Alcañiz-Lucas","given":"S."},{"family":"Pardo","given":"S."},{"family":"Brenes","given":"J.A."}],"issued":{"date-parts":[["2023"]]}</vt:lpwstr>
  </property>
  <property fmtid="{D5CDD505-2E9C-101B-9397-08002B2CF9AE}" pid="472" name="ZOTERO_BREF_YzPzAMtNZ7Sw_10">
    <vt:lpwstr>}}],"schema":"https://github.com/citation-style-language/schema/raw/master/csl-citation.json"}</vt:lpwstr>
  </property>
  <property fmtid="{D5CDD505-2E9C-101B-9397-08002B2CF9AE}" pid="473" name="ZOTERO_BREF_pL1E2P9X2IF8_1">
    <vt:lpwstr>ZOTERO_ITEM CSL_CITATION {"citationID":"RnKJB3ue","properties":{"formattedCitation":"[46]","plainCitation":"[46]","noteIndex":0},"citationItems":[{"id":1372,"uris":["http://zotero.org/users/9837378/items/H2HY34EC"],"itemData":{"id":1372,"type":"article-jo</vt:lpwstr>
  </property>
  <property fmtid="{D5CDD505-2E9C-101B-9397-08002B2CF9AE}" pid="474" name="ZOTERO_BREF_pL1E2P9X2IF8_2">
    <vt:lpwstr>urnal","abstract":"Context\nDigital Twin-based predictive maintenance systems are frequently integrated into complex systems. The success of the integration depends on the design of the system. A Reference Architecture can be used as a blueprint to design</vt:lpwstr>
  </property>
  <property fmtid="{D5CDD505-2E9C-101B-9397-08002B2CF9AE}" pid="475" name="ZOTERO_BREF_pL1E2P9X2IF8_3">
    <vt:lpwstr> Application Architectures rapidly and consistently for various application domains, resulting in a reduced time-to-market.\nObjective\nThe main objective of this study is to develop and evaluate a Reference Architecture designed using renowned software a</vt:lpwstr>
  </property>
  <property fmtid="{D5CDD505-2E9C-101B-9397-08002B2CF9AE}" pid="476" name="ZOTERO_BREF_pL1E2P9X2IF8_4">
    <vt:lpwstr>rchitecture methods.\nMethod\nA domain analysis was performed to gather and synthesize the literature on Digital Twin-based predictive maintenance systems, which we used to model the key features. We applied UML diagrams to design the reference architectu</vt:lpwstr>
  </property>
  <property fmtid="{D5CDD505-2E9C-101B-9397-08002B2CF9AE}" pid="477" name="ZOTERO_BREF_pL1E2P9X2IF8_5">
    <vt:lpwstr>re based on the feature model. We evaluated the reference architecture using three case studies.\nResults\nWe derived three views for Digital Twin-based predictive maintenance systems. For the user's view, we developed a context diagram. We developed a pa</vt:lpwstr>
  </property>
  <property fmtid="{D5CDD505-2E9C-101B-9397-08002B2CF9AE}" pid="478" name="ZOTERO_BREF_pL1E2P9X2IF8_6">
    <vt:lpwstr>ckage diagram for the structural view, and we designed a layered view to show the system's decomposition in layers. We designed an Application Architecture for each case study based on the study's features using each Reference Architecture view. Additiona</vt:lpwstr>
  </property>
  <property fmtid="{D5CDD505-2E9C-101B-9397-08002B2CF9AE}" pid="479" name="ZOTERO_BREF_pL1E2P9X2IF8_7">
    <vt:lpwstr>lly, we designed a deployment view to describe the hardware and software and its environment.\nConclusion\nWe demonstrated that the methods of creating a Reference Architecture could be used in the Digital Twin-based predictive maintenance domain and show</vt:lpwstr>
  </property>
  <property fmtid="{D5CDD505-2E9C-101B-9397-08002B2CF9AE}" pid="480" name="ZOTERO_BREF_pL1E2P9X2IF8_8">
    <vt:lpwstr>ed how an Application Architecture could be designed in this context.","container-title":"Computers &amp; Industrial Engineering","DOI":"10.1016/j.cie.2023.109099","ISSN":"0360-8352","journalAbbreviation":"Computers &amp; Industrial Engineering","page":"109099","</vt:lpwstr>
  </property>
  <property fmtid="{D5CDD505-2E9C-101B-9397-08002B2CF9AE}" pid="481" name="ZOTERO_BREF_pL1E2P9X2IF8_9">
    <vt:lpwstr>source":"ScienceDirect","title":"Reference architecture for digital twin-based predictive maintenance systems","volume":"177","author":[{"family":"Dinter","given":"Raymon","non-dropping-particle":"van"},{"family":"Tekinerdogan","given":"Bedir"},{"family":</vt:lpwstr>
  </property>
  <property fmtid="{D5CDD505-2E9C-101B-9397-08002B2CF9AE}" pid="482" name="ZOTERO_BREF_pL1E2P9X2IF8_10">
    <vt:lpwstr>"Catal","given":"Cagatay"}],"issued":{"date-parts":[["2023",3,1]]}}}],"schema":"https://github.com/citation-style-language/schema/raw/master/csl-citation.json"}</vt:lpwstr>
  </property>
  <property fmtid="{D5CDD505-2E9C-101B-9397-08002B2CF9AE}" pid="483" name="ZOTERO_BREF_qQBURMWwS9R7_1">
    <vt:lpwstr>ZOTERO_ITEM CSL_CITATION {"citationID":"mI1V9u25","properties":{"formattedCitation":"[47]","plainCitation":"[47]","noteIndex":0},"citationItems":[{"id":1576,"uris":["http://zotero.org/users/9837378/items/KYHPMXP5"],"itemData":{"id":1576,"type":"article-jo</vt:lpwstr>
  </property>
  <property fmtid="{D5CDD505-2E9C-101B-9397-08002B2CF9AE}" pid="484" name="ZOTERO_BREF_qQBURMWwS9R7_2">
    <vt:lpwstr>urnal","abstract":"Using AI-driven embedded hardware in mobile robotics, this research proposes a novel way to increase security. YOLO (You Only Look Once) object detection is used by the integrated system, which consists of a Raspberry Pi, an ESP32 micro</vt:lpwstr>
  </property>
  <property fmtid="{D5CDD505-2E9C-101B-9397-08002B2CF9AE}" pid="485" name="ZOTERO_BREF_qQBURMWwS9R7_3">
    <vt:lpwstr>controller, and an L298 motor driver, for real-time tracking and identification. Unlike traditional motion detection, our approach prioritizes accurate object recognition to improve security monitoring. Through a Flask-based UI, users may remotely control</vt:lpwstr>
  </property>
  <property fmtid="{D5CDD505-2E9C-101B-9397-08002B2CF9AE}" pid="486" name="ZOTERO_BREF_qQBURMWwS9R7_4">
    <vt:lpwstr> the robot by utilizing WebSocket communication. The system’s efficacy in decreasing false positives and enhancing total object detection rates is demonstrated by experimental findings, which highlight the combination of artificial intelligence, robotics,</vt:lpwstr>
  </property>
  <property fmtid="{D5CDD505-2E9C-101B-9397-08002B2CF9AE}" pid="487" name="ZOTERO_BREF_qQBURMWwS9R7_5">
    <vt:lpwstr> and embedded technologies to provide intelligent security solutions. © The Author(s), under exclusive license to Springer Nature Switzerland AG 2025.","archive":"Scopus","container-title":"Communications in Computer and Information Science","DOI":"10.100</vt:lpwstr>
  </property>
  <property fmtid="{D5CDD505-2E9C-101B-9397-08002B2CF9AE}" pid="488" name="ZOTERO_BREF_qQBURMWwS9R7_6">
    <vt:lpwstr>7/978-3-031-71729-1_3","page":"26-36","source":"Scopus","title":"Advancing Sustainable Security: AI-Driven Embedded Hardware for Mobile Robotics","title-short":"Advancing Sustainable Security","volume":"2196 CCIS","author":[{"family":"Garg","given":"R."},</vt:lpwstr>
  </property>
  <property fmtid="{D5CDD505-2E9C-101B-9397-08002B2CF9AE}" pid="489" name="ZOTERO_BREF_qQBURMWwS9R7_7">
    <vt:lpwstr>{"family":"Chawla","given":"M."},{"family":"Bhan","given":"A."},{"family":"Dixit","given":"S."}],"issued":{"date-parts":[["2025"]]}}}],"schema":"https://github.com/citation-style-language/schema/raw/master/csl-citation.json"}</vt:lpwstr>
  </property>
  <property fmtid="{D5CDD505-2E9C-101B-9397-08002B2CF9AE}" pid="490" name="ZOTERO_BREF_rdqQfii7Lm2m_1">
    <vt:lpwstr>ZOTERO_ITEM CSL_CITATION {"citationID":"f2OcIwRh","properties":{"formattedCitation":"[47]","plainCitation":"[47]","noteIndex":0},"citationItems":[{"id":1576,"uris":["http://zotero.org/users/9837378/items/KYHPMXP5"],"itemData":{"id":1576,"type":"article-jo</vt:lpwstr>
  </property>
  <property fmtid="{D5CDD505-2E9C-101B-9397-08002B2CF9AE}" pid="491" name="ZOTERO_BREF_rdqQfii7Lm2m_2">
    <vt:lpwstr>urnal","abstract":"Using AI-driven embedded hardware in mobile robotics, this research proposes a novel way to increase security. YOLO (You Only Look Once) object detection is used by the integrated system, which consists of a Raspberry Pi, an ESP32 micro</vt:lpwstr>
  </property>
  <property fmtid="{D5CDD505-2E9C-101B-9397-08002B2CF9AE}" pid="492" name="ZOTERO_BREF_rdqQfii7Lm2m_3">
    <vt:lpwstr>controller, and an L298 motor driver, for real-time tracking and identification. Unlike traditional motion detection, our approach prioritizes accurate object recognition to improve security monitoring. Through a Flask-based UI, users may remotely control</vt:lpwstr>
  </property>
  <property fmtid="{D5CDD505-2E9C-101B-9397-08002B2CF9AE}" pid="493" name="ZOTERO_BREF_rdqQfii7Lm2m_4">
    <vt:lpwstr> the robot by utilizing WebSocket communication. The system’s efficacy in decreasing false positives and enhancing total object detection rates is demonstrated by experimental findings, which highlight the combination of artificial intelligence, robotics,</vt:lpwstr>
  </property>
  <property fmtid="{D5CDD505-2E9C-101B-9397-08002B2CF9AE}" pid="494" name="ZOTERO_BREF_rdqQfii7Lm2m_5">
    <vt:lpwstr> and embedded technologies to provide intelligent security solutions. © The Author(s), under exclusive license to Springer Nature Switzerland AG 2025.","archive":"Scopus","container-title":"Communications in Computer and Information Science","DOI":"10.100</vt:lpwstr>
  </property>
  <property fmtid="{D5CDD505-2E9C-101B-9397-08002B2CF9AE}" pid="495" name="ZOTERO_BREF_rdqQfii7Lm2m_6">
    <vt:lpwstr>7/978-3-031-71729-1_3","page":"26-36","source":"Scopus","title":"Advancing Sustainable Security: AI-Driven Embedded Hardware for Mobile Robotics","title-short":"Advancing Sustainable Security","volume":"2196 CCIS","author":[{"family":"Garg","given":"R."},</vt:lpwstr>
  </property>
  <property fmtid="{D5CDD505-2E9C-101B-9397-08002B2CF9AE}" pid="496" name="ZOTERO_BREF_rdqQfii7Lm2m_7">
    <vt:lpwstr>{"family":"Chawla","given":"M."},{"family":"Bhan","given":"A."},{"family":"Dixit","given":"S."}],"issued":{"date-parts":[["2025"]]}}}],"schema":"https://github.com/citation-style-language/schema/raw/master/csl-citation.json"}</vt:lpwstr>
  </property>
  <property fmtid="{D5CDD505-2E9C-101B-9397-08002B2CF9AE}" pid="497" name="ZOTERO_BREF_ugHfhG6ZrL1R_1">
    <vt:lpwstr>ZOTERO_ITEM CSL_CITATION {"citationID":"uSReGJIw","properties":{"formattedCitation":"[48]","plainCitation":"[48]","noteIndex":0},"citationItems":[{"id":1574,"uris":["http://zotero.org/users/9837378/items/DWNSB7EQ"],"itemData":{"id":1574,"type":"article-jo</vt:lpwstr>
  </property>
  <property fmtid="{D5CDD505-2E9C-101B-9397-08002B2CF9AE}" pid="498" name="ZOTERO_BREF_ugHfhG6ZrL1R_2">
    <vt:lpwstr>urnal","abstract":"The building sector is the highest energy consumer (38.1%) in the European Union. This consumption has to be reduced in both new and existing buildings. Respect to the existing ones, they need an effective energy renovation as the curre</vt:lpwstr>
  </property>
  <property fmtid="{D5CDD505-2E9C-101B-9397-08002B2CF9AE}" pid="499" name="ZOTERO_BREF_ugHfhG6ZrL1R_3">
    <vt:lpwstr>nt European Directives reflect. Specifically, according to these Directives, all countries have had to retrofit 3% of their public buildings per year since 2014. There are dozens of retrofitting measures that can be applied to each building, and selecting</vt:lpwstr>
  </property>
  <property fmtid="{D5CDD505-2E9C-101B-9397-08002B2CF9AE}" pid="500" name="ZOTERO_BREF_ugHfhG6ZrL1R_4">
    <vt:lpwstr> the most appropriate ones is not an easy task. In this paper, a decision matrix is proposed as a tool to identify the most appropriate retrofit measures of an existing building. This decision matrix is calculated using dynamic simulation tools. Furthermo</vt:lpwstr>
  </property>
  <property fmtid="{D5CDD505-2E9C-101B-9397-08002B2CF9AE}" pid="501" name="ZOTERO_BREF_ugHfhG6ZrL1R_5">
    <vt:lpwstr>re, a sensitivity analysis is carried out and the energy deviations produced modifying the input variables are quantified. The outputs obtained by this decision matrix are the building loads of each retrofit measure and the associated cost. After obtainin</vt:lpwstr>
  </property>
  <property fmtid="{D5CDD505-2E9C-101B-9397-08002B2CF9AE}" pid="502" name="ZOTERO_BREF_ugHfhG6ZrL1R_6">
    <vt:lpwstr>g this decision matrix, a multi-variable optimization has been made considering different cost functions. This methodology has been applied to an educational building at Oviedo University, located in Gijón (Spain). According to the climate classification </vt:lpwstr>
  </property>
  <property fmtid="{D5CDD505-2E9C-101B-9397-08002B2CF9AE}" pid="503" name="ZOTERO_BREF_ugHfhG6ZrL1R_7">
    <vt:lpwstr>of Gijón, the Spanish normative and the building layout, three upgrading measures have been studied: addition of insulation on the envelope, windows renovation and shading devices. It has been observed that the influence of the cost function selected is r</vt:lpwstr>
  </property>
  <property fmtid="{D5CDD505-2E9C-101B-9397-08002B2CF9AE}" pid="504" name="ZOTERO_BREF_ugHfhG6ZrL1R_8">
    <vt:lpwstr>elevant, and for the educational building, the case with the best glazing but only intermediate façade insulation is the best retrofitting choice according to the majority of cost functions compared.","container-title":"Journal of Cleaner Production","DOI</vt:lpwstr>
  </property>
  <property fmtid="{D5CDD505-2E9C-101B-9397-08002B2CF9AE}" pid="505" name="ZOTERO_BREF_ugHfhG6ZrL1R_9">
    <vt:lpwstr>":"10.1016/j.jclepro.2019.118153","ISSN":"0959-6526","journalAbbreviation":"Journal of Cleaner Production","page":"118153","source":"ScienceDirect","title":"Decision matrix methodology for retrofitting techniques of existing buildings","volume":"240","aut</vt:lpwstr>
  </property>
  <property fmtid="{D5CDD505-2E9C-101B-9397-08002B2CF9AE}" pid="506" name="ZOTERO_BREF_ugHfhG6ZrL1R_10">
    <vt:lpwstr>hor":[{"family":"Castro","given":"Silvia Soutullo"},{"family":"Suárez López","given":"María José"},{"family":"Menéndez","given":"David García"},{"family":"Marigorta","given":"Eduardo Blanco"}],"issued":{"date-parts":[["2019",12,10]]}}}],"schema":"https://</vt:lpwstr>
  </property>
  <property fmtid="{D5CDD505-2E9C-101B-9397-08002B2CF9AE}" pid="507" name="ZOTERO_BREF_ugHfhG6ZrL1R_11">
    <vt:lpwstr>github.com/citation-style-language/schema/raw/master/csl-citation.json"}</vt:lpwstr>
  </property>
  <property fmtid="{D5CDD505-2E9C-101B-9397-08002B2CF9AE}" pid="508" name="ZOTERO_BREF_6CfWoMJWiQbE_1">
    <vt:lpwstr>ZOTERO_ITEM CSL_CITATION {"citationID":"NqF3omOY","properties":{"formattedCitation":"[49]","plainCitation":"[49]","noteIndex":0},"citationItems":[{"id":1578,"uris":["http://zotero.org/users/9837378/items/G9M7BNVJ"],"itemData":{"id":1578,"type":"webpage","</vt:lpwstr>
  </property>
  <property fmtid="{D5CDD505-2E9C-101B-9397-08002B2CF9AE}" pid="509" name="ZOTERO_BREF_6CfWoMJWiQbE_2">
    <vt:lpwstr>abstract":"Comprehensive software solutions for edge computing, providing data analysis and management at the source of data creation.","container-title":"ThingsBoard","title":"ThingsBoard Edge","URL":"https://thingsboard.io/products/thingsboard-edge/","a</vt:lpwstr>
  </property>
  <property fmtid="{D5CDD505-2E9C-101B-9397-08002B2CF9AE}" pid="510" name="ZOTERO_BREF_6CfWoMJWiQbE_3">
    <vt:lpwstr>uthor":[{"family":"thingsboard","given":""}],"accessed":{"date-parts":[["2024",12,29]]}}}],"schema":"https://github.com/citation-style-language/schema/raw/master/csl-citation.json"}</vt:lpwstr>
  </property>
</Properties>
</file>